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F48" w:rsidRPr="00765A4F" w:rsidRDefault="00D63DB0" w:rsidP="00A3552B">
      <w:pPr>
        <w:framePr w:w="2897" w:h="2502" w:hRule="exact" w:wrap="auto" w:vAnchor="text" w:hAnchor="page" w:x="1066" w:y="-299"/>
        <w:ind w:firstLine="180"/>
        <w:rPr>
          <w:rFonts w:ascii="Arial" w:hAnsi="Arial"/>
        </w:rPr>
      </w:pPr>
      <w:bookmarkStart w:id="0" w:name="_GoBack"/>
      <w:bookmarkEnd w:id="0"/>
      <w:r>
        <w:rPr>
          <w:noProof/>
          <w:snapToGrid/>
        </w:rPr>
        <w:drawing>
          <wp:anchor distT="0" distB="0" distL="114300" distR="114300" simplePos="0" relativeHeight="251657728" behindDoc="1" locked="0" layoutInCell="1" allowOverlap="1">
            <wp:simplePos x="0" y="0"/>
            <wp:positionH relativeFrom="column">
              <wp:posOffset>118110</wp:posOffset>
            </wp:positionH>
            <wp:positionV relativeFrom="paragraph">
              <wp:posOffset>-2540</wp:posOffset>
            </wp:positionV>
            <wp:extent cx="1579880" cy="1579880"/>
            <wp:effectExtent l="0" t="0" r="1270" b="1270"/>
            <wp:wrapThrough wrapText="bothSides">
              <wp:wrapPolygon edited="0">
                <wp:start x="0" y="0"/>
                <wp:lineTo x="0" y="21357"/>
                <wp:lineTo x="21357" y="21357"/>
                <wp:lineTo x="21357" y="0"/>
                <wp:lineTo x="0" y="0"/>
              </wp:wrapPolygon>
            </wp:wrapThrough>
            <wp:docPr id="2" name="Picture 1" descr="CityEmble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Emblem_B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9880" cy="1579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F48" w:rsidRPr="00765A4F" w:rsidRDefault="00CA1F48" w:rsidP="00A3552B">
      <w:pPr>
        <w:framePr w:w="2827" w:h="2502" w:hRule="exact" w:wrap="auto" w:vAnchor="text" w:hAnchor="page" w:x="1066" w:y="-302"/>
        <w:ind w:right="417"/>
      </w:pPr>
    </w:p>
    <w:p w:rsidR="008C702E" w:rsidRDefault="008C702E">
      <w:pPr>
        <w:jc w:val="center"/>
        <w:outlineLvl w:val="0"/>
        <w:rPr>
          <w:rFonts w:ascii="Arial" w:hAnsi="Arial"/>
          <w:b/>
          <w:sz w:val="60"/>
          <w:szCs w:val="60"/>
        </w:rPr>
      </w:pPr>
      <w:bookmarkStart w:id="1" w:name="QuickMark"/>
      <w:bookmarkEnd w:id="1"/>
      <w:r w:rsidRPr="0016042C">
        <w:rPr>
          <w:rFonts w:ascii="Arial" w:hAnsi="Arial"/>
          <w:sz w:val="28"/>
          <w:szCs w:val="28"/>
        </w:rPr>
        <w:lastRenderedPageBreak/>
        <w:t>This may affect your property</w:t>
      </w:r>
    </w:p>
    <w:p w:rsidR="00CA1F48" w:rsidRPr="00901353" w:rsidRDefault="00CA1F48">
      <w:pPr>
        <w:jc w:val="center"/>
        <w:outlineLvl w:val="0"/>
        <w:rPr>
          <w:rFonts w:ascii="Arial" w:hAnsi="Arial"/>
          <w:sz w:val="60"/>
          <w:szCs w:val="60"/>
        </w:rPr>
      </w:pPr>
      <w:r w:rsidRPr="00901353">
        <w:rPr>
          <w:rFonts w:ascii="Arial" w:hAnsi="Arial"/>
          <w:b/>
          <w:sz w:val="60"/>
          <w:szCs w:val="60"/>
        </w:rPr>
        <w:t xml:space="preserve">Notice of </w:t>
      </w:r>
    </w:p>
    <w:p w:rsidR="00A3552B" w:rsidRDefault="00CA1F48" w:rsidP="00A3552B">
      <w:pPr>
        <w:jc w:val="center"/>
        <w:outlineLvl w:val="0"/>
        <w:rPr>
          <w:rFonts w:ascii="Arial" w:hAnsi="Arial"/>
          <w:sz w:val="60"/>
          <w:szCs w:val="60"/>
        </w:rPr>
      </w:pPr>
      <w:r w:rsidRPr="00901353">
        <w:rPr>
          <w:rFonts w:ascii="Arial" w:hAnsi="Arial"/>
          <w:sz w:val="60"/>
          <w:szCs w:val="60"/>
        </w:rPr>
        <w:t>PUBLIC HEARING</w:t>
      </w:r>
    </w:p>
    <w:p w:rsidR="00A3552B" w:rsidRPr="00A3552B" w:rsidRDefault="00A3552B" w:rsidP="00A3552B">
      <w:pPr>
        <w:jc w:val="center"/>
        <w:outlineLvl w:val="0"/>
        <w:rPr>
          <w:rFonts w:ascii="Arial" w:hAnsi="Arial"/>
          <w:sz w:val="22"/>
          <w:szCs w:val="22"/>
        </w:rPr>
      </w:pPr>
    </w:p>
    <w:p w:rsidR="00CA1F48" w:rsidRPr="00A3552B" w:rsidRDefault="00CA1F48" w:rsidP="003A62C7">
      <w:pPr>
        <w:ind w:left="3600" w:firstLine="360"/>
        <w:jc w:val="both"/>
        <w:outlineLvl w:val="0"/>
        <w:rPr>
          <w:rFonts w:ascii="Arial" w:hAnsi="Arial"/>
          <w:sz w:val="60"/>
          <w:szCs w:val="60"/>
        </w:rPr>
      </w:pPr>
      <w:r w:rsidRPr="0016042C">
        <w:rPr>
          <w:rFonts w:ascii="Arial" w:hAnsi="Arial"/>
          <w:sz w:val="28"/>
          <w:szCs w:val="28"/>
        </w:rPr>
        <w:t>Notice is hereby given tha</w:t>
      </w:r>
      <w:r w:rsidR="00A3552B">
        <w:rPr>
          <w:rFonts w:ascii="Arial" w:hAnsi="Arial"/>
          <w:sz w:val="28"/>
          <w:szCs w:val="28"/>
        </w:rPr>
        <w:t xml:space="preserve">t a Public Hearing will be held </w:t>
      </w:r>
      <w:r w:rsidRPr="0016042C">
        <w:rPr>
          <w:rFonts w:ascii="Arial" w:hAnsi="Arial"/>
          <w:sz w:val="28"/>
          <w:szCs w:val="28"/>
        </w:rPr>
        <w:t xml:space="preserve">by the </w:t>
      </w:r>
      <w:r w:rsidR="00211B03">
        <w:rPr>
          <w:rFonts w:ascii="Arial" w:hAnsi="Arial"/>
          <w:sz w:val="28"/>
          <w:szCs w:val="28"/>
        </w:rPr>
        <w:t>City Council</w:t>
      </w:r>
      <w:r w:rsidRPr="0016042C">
        <w:rPr>
          <w:rFonts w:ascii="Arial" w:hAnsi="Arial"/>
          <w:sz w:val="28"/>
          <w:szCs w:val="28"/>
        </w:rPr>
        <w:t xml:space="preserve"> of the City of Moreno Valley on the following item(s):</w:t>
      </w:r>
    </w:p>
    <w:p w:rsidR="0016042C" w:rsidRDefault="0016042C">
      <w:pPr>
        <w:rPr>
          <w:rFonts w:ascii="Arial" w:hAnsi="Arial"/>
          <w:sz w:val="34"/>
        </w:rPr>
      </w:pPr>
    </w:p>
    <w:p w:rsidR="0016042C" w:rsidRPr="005769EE" w:rsidRDefault="0016042C">
      <w:pPr>
        <w:rPr>
          <w:rFonts w:ascii="Arial" w:hAnsi="Arial"/>
          <w:sz w:val="16"/>
          <w:szCs w:val="16"/>
        </w:rPr>
        <w:sectPr w:rsidR="0016042C" w:rsidRPr="005769EE" w:rsidSect="005769EE">
          <w:endnotePr>
            <w:numFmt w:val="decimal"/>
          </w:endnotePr>
          <w:pgSz w:w="12240" w:h="15840"/>
          <w:pgMar w:top="720" w:right="720" w:bottom="540" w:left="720" w:header="720" w:footer="720" w:gutter="0"/>
          <w:cols w:space="720"/>
          <w:noEndnote/>
        </w:sectPr>
      </w:pPr>
    </w:p>
    <w:p w:rsidR="008F7C70" w:rsidRPr="008F7C70" w:rsidRDefault="00761B0D" w:rsidP="00315101">
      <w:pPr>
        <w:tabs>
          <w:tab w:val="left" w:pos="-1440"/>
        </w:tabs>
        <w:ind w:left="900" w:hanging="900"/>
        <w:rPr>
          <w:rFonts w:ascii="Courier" w:hAnsi="Courier" w:cs="Arial"/>
          <w:sz w:val="18"/>
          <w:szCs w:val="18"/>
        </w:rPr>
      </w:pPr>
      <w:r w:rsidRPr="003170E7">
        <w:rPr>
          <w:rFonts w:ascii="Arial" w:hAnsi="Arial"/>
          <w:b/>
          <w:sz w:val="20"/>
        </w:rPr>
        <w:lastRenderedPageBreak/>
        <w:t>Project:</w:t>
      </w:r>
      <w:r w:rsidR="00E417B2">
        <w:rPr>
          <w:rFonts w:ascii="Arial" w:hAnsi="Arial"/>
          <w:b/>
          <w:sz w:val="20"/>
        </w:rPr>
        <w:t xml:space="preserve"> </w:t>
      </w:r>
      <w:r w:rsidR="005769EE">
        <w:rPr>
          <w:rFonts w:ascii="Arial" w:hAnsi="Arial"/>
          <w:b/>
          <w:sz w:val="20"/>
        </w:rPr>
        <w:tab/>
      </w:r>
      <w:r w:rsidR="008F7C70" w:rsidRPr="008F7C70">
        <w:rPr>
          <w:rFonts w:ascii="Arial" w:hAnsi="Arial" w:cs="Arial"/>
          <w:sz w:val="18"/>
          <w:szCs w:val="18"/>
        </w:rPr>
        <w:t>PEN16-0092 (PA16-0018) – General Plan Amendment</w:t>
      </w:r>
    </w:p>
    <w:p w:rsidR="008F7C70" w:rsidRPr="008F7C70" w:rsidRDefault="008F7C70" w:rsidP="00315101">
      <w:pPr>
        <w:ind w:firstLine="900"/>
        <w:rPr>
          <w:rFonts w:ascii="Arial" w:hAnsi="Arial" w:cs="Arial"/>
          <w:sz w:val="18"/>
          <w:szCs w:val="18"/>
        </w:rPr>
      </w:pPr>
      <w:r w:rsidRPr="008F7C70">
        <w:rPr>
          <w:rFonts w:ascii="Arial" w:hAnsi="Arial" w:cs="Arial"/>
          <w:sz w:val="18"/>
          <w:szCs w:val="18"/>
        </w:rPr>
        <w:t>PEN16-0093 (PA16-0019) – Zone Change</w:t>
      </w:r>
    </w:p>
    <w:p w:rsidR="008F7C70" w:rsidRPr="008F7C70" w:rsidRDefault="008F7C70" w:rsidP="00315101">
      <w:pPr>
        <w:ind w:firstLine="900"/>
        <w:rPr>
          <w:rFonts w:ascii="Arial" w:hAnsi="Arial" w:cs="Arial"/>
          <w:sz w:val="18"/>
          <w:szCs w:val="18"/>
        </w:rPr>
      </w:pPr>
      <w:r w:rsidRPr="008F7C70">
        <w:rPr>
          <w:rFonts w:ascii="Arial" w:hAnsi="Arial" w:cs="Arial"/>
          <w:sz w:val="18"/>
          <w:szCs w:val="18"/>
        </w:rPr>
        <w:t xml:space="preserve">PEN16-0094 (PA14-0052) – </w:t>
      </w:r>
      <w:r w:rsidR="00315101">
        <w:rPr>
          <w:rFonts w:ascii="Arial" w:hAnsi="Arial" w:cs="Arial"/>
          <w:sz w:val="18"/>
          <w:szCs w:val="18"/>
        </w:rPr>
        <w:t>Conditional Use Permit</w:t>
      </w:r>
    </w:p>
    <w:p w:rsidR="008F7C70" w:rsidRPr="008F7C70" w:rsidRDefault="008F7C70" w:rsidP="00315101">
      <w:pPr>
        <w:ind w:firstLine="900"/>
        <w:rPr>
          <w:rFonts w:ascii="Arial" w:hAnsi="Arial" w:cs="Arial"/>
          <w:sz w:val="18"/>
          <w:szCs w:val="18"/>
        </w:rPr>
      </w:pPr>
      <w:r w:rsidRPr="008F7C70">
        <w:rPr>
          <w:rFonts w:ascii="Arial" w:hAnsi="Arial" w:cs="Arial"/>
          <w:sz w:val="18"/>
          <w:szCs w:val="18"/>
        </w:rPr>
        <w:t>PEN16-0095 (PA14-0053) – TTM 36760</w:t>
      </w:r>
    </w:p>
    <w:p w:rsidR="00761B0D" w:rsidRPr="00E417B2" w:rsidRDefault="00761B0D" w:rsidP="005769EE">
      <w:pPr>
        <w:tabs>
          <w:tab w:val="left" w:pos="1620"/>
        </w:tabs>
        <w:rPr>
          <w:rFonts w:ascii="Arial" w:hAnsi="Arial"/>
          <w:b/>
          <w:sz w:val="20"/>
        </w:rPr>
      </w:pPr>
    </w:p>
    <w:p w:rsidR="0036373E" w:rsidRPr="00E417B2" w:rsidRDefault="0036373E" w:rsidP="005769EE">
      <w:pPr>
        <w:tabs>
          <w:tab w:val="left" w:pos="1620"/>
        </w:tabs>
        <w:ind w:left="1620" w:hanging="1620"/>
        <w:rPr>
          <w:rFonts w:ascii="Arial" w:hAnsi="Arial"/>
          <w:sz w:val="20"/>
        </w:rPr>
      </w:pPr>
      <w:r w:rsidRPr="003170E7">
        <w:rPr>
          <w:rFonts w:ascii="Arial" w:hAnsi="Arial"/>
          <w:b/>
          <w:sz w:val="20"/>
        </w:rPr>
        <w:t>Applicant:</w:t>
      </w:r>
      <w:r w:rsidR="00E417B2">
        <w:rPr>
          <w:rFonts w:ascii="Arial" w:hAnsi="Arial"/>
          <w:sz w:val="20"/>
        </w:rPr>
        <w:t xml:space="preserve"> </w:t>
      </w:r>
      <w:r w:rsidR="005769EE">
        <w:rPr>
          <w:rFonts w:ascii="Arial" w:hAnsi="Arial"/>
          <w:sz w:val="20"/>
        </w:rPr>
        <w:tab/>
      </w:r>
      <w:r w:rsidR="008F7C70" w:rsidRPr="008F7C70">
        <w:rPr>
          <w:rFonts w:ascii="Arial" w:hAnsi="Arial"/>
          <w:sz w:val="20"/>
        </w:rPr>
        <w:t>Mission Pacific Land Company</w:t>
      </w:r>
      <w:r w:rsidR="008F7C70" w:rsidRPr="00E417B2">
        <w:rPr>
          <w:rFonts w:ascii="Arial" w:hAnsi="Arial"/>
          <w:sz w:val="20"/>
        </w:rPr>
        <w:t xml:space="preserve"> </w:t>
      </w:r>
    </w:p>
    <w:p w:rsidR="000A2995" w:rsidRPr="008F7C70" w:rsidRDefault="0036373E" w:rsidP="008F7C70">
      <w:pPr>
        <w:tabs>
          <w:tab w:val="left" w:pos="-1440"/>
        </w:tabs>
        <w:ind w:left="1620" w:hanging="1620"/>
        <w:rPr>
          <w:rFonts w:ascii="Arial" w:hAnsi="Arial"/>
          <w:sz w:val="20"/>
        </w:rPr>
      </w:pPr>
      <w:r w:rsidRPr="003170E7">
        <w:rPr>
          <w:rFonts w:ascii="Arial" w:hAnsi="Arial"/>
          <w:b/>
          <w:sz w:val="20"/>
        </w:rPr>
        <w:t>Owner:</w:t>
      </w:r>
      <w:r w:rsidR="008F7C70">
        <w:rPr>
          <w:rFonts w:ascii="Arial" w:hAnsi="Arial"/>
          <w:b/>
          <w:sz w:val="20"/>
        </w:rPr>
        <w:tab/>
      </w:r>
      <w:r w:rsidR="008F7C70" w:rsidRPr="008F7C70">
        <w:rPr>
          <w:rFonts w:ascii="Arial" w:hAnsi="Arial"/>
          <w:sz w:val="20"/>
        </w:rPr>
        <w:t>MPLC Legacy 75 Associates, LP</w:t>
      </w:r>
      <w:r w:rsidR="009D5B51" w:rsidRPr="003170E7">
        <w:rPr>
          <w:rFonts w:ascii="Arial" w:hAnsi="Arial"/>
          <w:b/>
          <w:sz w:val="20"/>
        </w:rPr>
        <w:t xml:space="preserve">  </w:t>
      </w:r>
      <w:r w:rsidRPr="003170E7">
        <w:rPr>
          <w:rFonts w:ascii="Arial" w:hAnsi="Arial"/>
          <w:b/>
          <w:sz w:val="20"/>
        </w:rPr>
        <w:t xml:space="preserve"> </w:t>
      </w:r>
    </w:p>
    <w:p w:rsidR="0036373E" w:rsidRPr="003170E7" w:rsidRDefault="0036373E" w:rsidP="005769EE">
      <w:pPr>
        <w:tabs>
          <w:tab w:val="left" w:pos="1620"/>
        </w:tabs>
        <w:rPr>
          <w:rFonts w:ascii="Arial" w:hAnsi="Arial"/>
          <w:b/>
          <w:sz w:val="20"/>
        </w:rPr>
      </w:pPr>
      <w:r w:rsidRPr="003170E7">
        <w:rPr>
          <w:rFonts w:ascii="Arial" w:hAnsi="Arial"/>
          <w:b/>
          <w:sz w:val="20"/>
        </w:rPr>
        <w:t xml:space="preserve">Representative:  </w:t>
      </w:r>
      <w:r w:rsidR="008F7C70" w:rsidRPr="008F7C70">
        <w:rPr>
          <w:rFonts w:ascii="Arial" w:hAnsi="Arial"/>
          <w:sz w:val="20"/>
        </w:rPr>
        <w:t>Rick Engineering Company</w:t>
      </w:r>
      <w:r w:rsidR="00DB0DDC" w:rsidRPr="003170E7">
        <w:rPr>
          <w:rFonts w:ascii="Arial" w:hAnsi="Arial"/>
          <w:sz w:val="20"/>
        </w:rPr>
        <w:tab/>
      </w:r>
      <w:r w:rsidRPr="003170E7">
        <w:rPr>
          <w:rFonts w:ascii="Arial" w:hAnsi="Arial"/>
          <w:b/>
          <w:sz w:val="20"/>
        </w:rPr>
        <w:t xml:space="preserve"> </w:t>
      </w:r>
    </w:p>
    <w:p w:rsidR="0036373E" w:rsidRPr="008F7C70" w:rsidRDefault="0036373E" w:rsidP="008F7C70">
      <w:pPr>
        <w:tabs>
          <w:tab w:val="left" w:pos="-1440"/>
        </w:tabs>
        <w:ind w:left="1620" w:hanging="1620"/>
        <w:rPr>
          <w:rFonts w:ascii="Arial" w:hAnsi="Arial"/>
          <w:sz w:val="20"/>
        </w:rPr>
      </w:pPr>
      <w:r w:rsidRPr="003170E7">
        <w:rPr>
          <w:rFonts w:ascii="Arial" w:hAnsi="Arial"/>
          <w:b/>
          <w:sz w:val="20"/>
        </w:rPr>
        <w:t>A.P. No:</w:t>
      </w:r>
      <w:r w:rsidR="008F7C70">
        <w:rPr>
          <w:rFonts w:ascii="Arial" w:hAnsi="Arial"/>
          <w:b/>
          <w:sz w:val="20"/>
        </w:rPr>
        <w:tab/>
      </w:r>
      <w:r w:rsidR="008F7C70" w:rsidRPr="008F7C70">
        <w:rPr>
          <w:rFonts w:ascii="Arial" w:hAnsi="Arial"/>
          <w:sz w:val="20"/>
        </w:rPr>
        <w:t>485-220-023, -032, and -040</w:t>
      </w:r>
    </w:p>
    <w:p w:rsidR="004069FF" w:rsidRPr="008F7C70" w:rsidRDefault="0036373E" w:rsidP="008F7C70">
      <w:pPr>
        <w:tabs>
          <w:tab w:val="left" w:pos="-1440"/>
        </w:tabs>
        <w:ind w:left="1620" w:hanging="1620"/>
        <w:rPr>
          <w:rFonts w:ascii="Arial" w:hAnsi="Arial"/>
          <w:sz w:val="20"/>
        </w:rPr>
      </w:pPr>
      <w:r w:rsidRPr="003170E7">
        <w:rPr>
          <w:rFonts w:ascii="Arial" w:hAnsi="Arial"/>
          <w:b/>
          <w:sz w:val="20"/>
        </w:rPr>
        <w:t>Location:</w:t>
      </w:r>
      <w:r w:rsidR="00E417B2" w:rsidRPr="00E417B2">
        <w:rPr>
          <w:rFonts w:ascii="Arial" w:hAnsi="Arial"/>
          <w:sz w:val="22"/>
        </w:rPr>
        <w:t xml:space="preserve"> </w:t>
      </w:r>
      <w:r w:rsidR="005769EE">
        <w:rPr>
          <w:rFonts w:ascii="Arial" w:hAnsi="Arial"/>
          <w:sz w:val="22"/>
        </w:rPr>
        <w:tab/>
      </w:r>
      <w:r w:rsidR="008F7C70" w:rsidRPr="008F7C70">
        <w:rPr>
          <w:rFonts w:ascii="Arial" w:hAnsi="Arial"/>
          <w:sz w:val="20"/>
        </w:rPr>
        <w:t>Southeast corner Gentian Avenue and Indian Street</w:t>
      </w:r>
    </w:p>
    <w:p w:rsidR="00A3552B" w:rsidRPr="008F7C70" w:rsidRDefault="009D5B51" w:rsidP="005769EE">
      <w:pPr>
        <w:ind w:left="1620" w:hanging="1620"/>
        <w:jc w:val="both"/>
        <w:rPr>
          <w:rFonts w:ascii="Arial" w:hAnsi="Arial" w:cs="Arial"/>
          <w:b/>
          <w:sz w:val="20"/>
        </w:rPr>
      </w:pPr>
      <w:r w:rsidRPr="003170E7">
        <w:rPr>
          <w:rFonts w:ascii="Arial" w:hAnsi="Arial"/>
          <w:b/>
          <w:sz w:val="20"/>
        </w:rPr>
        <w:t>Proposal:</w:t>
      </w:r>
      <w:r w:rsidR="00E417B2">
        <w:rPr>
          <w:rFonts w:ascii="Arial" w:hAnsi="Arial"/>
          <w:sz w:val="20"/>
        </w:rPr>
        <w:t xml:space="preserve"> </w:t>
      </w:r>
      <w:r w:rsidR="005769EE">
        <w:rPr>
          <w:rFonts w:ascii="Arial" w:hAnsi="Arial"/>
          <w:sz w:val="20"/>
        </w:rPr>
        <w:tab/>
      </w:r>
      <w:r w:rsidR="008F7C70" w:rsidRPr="008F7C70">
        <w:rPr>
          <w:rFonts w:ascii="Arial" w:hAnsi="Arial" w:cs="Arial"/>
          <w:sz w:val="20"/>
        </w:rPr>
        <w:t>General Plan Amendment from Residential 30 to Residential 5 and Zone Change from R30 to R5 for a 15.06 acre portion of a 53 acre site.  This project includes Tentative Tract Map 36760 to subdivide the 53 acre site into a total of 221 single family residential lots and a Conditional Use Permit for a Planned Unit Development (PUD).  The PUD application will establish minimum lot sizes of 4,000 and 5,000 square feet and establish unique lot widths and setback standards along with architectural guidelines.</w:t>
      </w:r>
    </w:p>
    <w:p w:rsidR="0036373E" w:rsidRPr="003170E7" w:rsidRDefault="0036373E" w:rsidP="00BA590E">
      <w:pPr>
        <w:ind w:left="1620" w:hanging="1620"/>
        <w:jc w:val="both"/>
        <w:rPr>
          <w:rFonts w:ascii="Arial" w:hAnsi="Arial"/>
          <w:b/>
          <w:sz w:val="20"/>
        </w:rPr>
      </w:pPr>
      <w:r w:rsidRPr="003170E7">
        <w:rPr>
          <w:rFonts w:ascii="Arial" w:hAnsi="Arial"/>
          <w:b/>
          <w:sz w:val="20"/>
        </w:rPr>
        <w:t xml:space="preserve">Council District: </w:t>
      </w:r>
      <w:r w:rsidR="008F7C70">
        <w:rPr>
          <w:rFonts w:ascii="Arial" w:hAnsi="Arial"/>
          <w:sz w:val="20"/>
        </w:rPr>
        <w:t>4</w:t>
      </w:r>
      <w:r w:rsidRPr="003170E7">
        <w:rPr>
          <w:rFonts w:ascii="Arial" w:hAnsi="Arial"/>
          <w:b/>
          <w:sz w:val="20"/>
        </w:rPr>
        <w:tab/>
        <w:t xml:space="preserve">  </w:t>
      </w:r>
    </w:p>
    <w:p w:rsidR="00293156" w:rsidRPr="00067174" w:rsidRDefault="00293156" w:rsidP="00535558">
      <w:pPr>
        <w:pStyle w:val="BodyText"/>
        <w:rPr>
          <w:sz w:val="16"/>
          <w:szCs w:val="16"/>
        </w:rPr>
      </w:pPr>
    </w:p>
    <w:p w:rsidR="00B90E0A" w:rsidRPr="00B90E0A" w:rsidRDefault="00381B03" w:rsidP="00067174">
      <w:pPr>
        <w:pStyle w:val="BodyText"/>
        <w:rPr>
          <w:rFonts w:cs="Arial"/>
          <w:sz w:val="22"/>
          <w:szCs w:val="22"/>
        </w:rPr>
      </w:pPr>
      <w:r w:rsidRPr="00381B03">
        <w:rPr>
          <w:bCs/>
        </w:rPr>
        <w:t>The project has been evaluated against criteria set forth in the California Environmental Quality Act (CEQA) Guidelines and it was determined that</w:t>
      </w:r>
      <w:r w:rsidR="005769EE">
        <w:rPr>
          <w:bCs/>
        </w:rPr>
        <w:t xml:space="preserve"> the project will not have </w:t>
      </w:r>
      <w:r w:rsidR="005B3269">
        <w:rPr>
          <w:bCs/>
        </w:rPr>
        <w:t xml:space="preserve">the potential for </w:t>
      </w:r>
      <w:r w:rsidR="005769EE">
        <w:rPr>
          <w:bCs/>
        </w:rPr>
        <w:t>a significant effect on the environment with the incorporation of mitigation measures. A</w:t>
      </w:r>
      <w:r w:rsidR="00B90E0A">
        <w:rPr>
          <w:bCs/>
        </w:rPr>
        <w:t xml:space="preserve"> Mitigated Negative Declaration is </w:t>
      </w:r>
      <w:r w:rsidR="005769EE">
        <w:rPr>
          <w:bCs/>
        </w:rPr>
        <w:t>recommended</w:t>
      </w:r>
      <w:r w:rsidR="00067174">
        <w:rPr>
          <w:bCs/>
        </w:rPr>
        <w:t>.  M</w:t>
      </w:r>
      <w:r w:rsidR="00B90E0A" w:rsidRPr="00B90E0A">
        <w:rPr>
          <w:rFonts w:cs="Arial"/>
          <w:sz w:val="22"/>
          <w:szCs w:val="22"/>
        </w:rPr>
        <w:t>itigation measures have been required of the project that will reduce potential impacts to a less than significant level.</w:t>
      </w:r>
    </w:p>
    <w:p w:rsidR="003170E7" w:rsidRPr="00067174" w:rsidRDefault="003170E7">
      <w:pPr>
        <w:pStyle w:val="BodyText"/>
        <w:rPr>
          <w:color w:val="FF0000"/>
          <w:sz w:val="16"/>
          <w:szCs w:val="16"/>
        </w:rPr>
      </w:pPr>
    </w:p>
    <w:p w:rsidR="00315101" w:rsidRDefault="004F5E90">
      <w:pPr>
        <w:jc w:val="both"/>
        <w:rPr>
          <w:rFonts w:ascii="Arial" w:hAnsi="Arial" w:cs="Arial"/>
          <w:sz w:val="20"/>
        </w:rPr>
      </w:pPr>
      <w:r w:rsidRPr="009910E5">
        <w:rPr>
          <w:rFonts w:ascii="Arial" w:hAnsi="Arial" w:cs="Arial"/>
          <w:sz w:val="20"/>
        </w:rPr>
        <w:t xml:space="preserve">A public hearing before the </w:t>
      </w:r>
      <w:r w:rsidR="00211B03">
        <w:rPr>
          <w:rFonts w:ascii="Arial" w:hAnsi="Arial" w:cs="Arial"/>
          <w:sz w:val="20"/>
        </w:rPr>
        <w:t>City Council</w:t>
      </w:r>
      <w:r w:rsidRPr="009910E5">
        <w:rPr>
          <w:rFonts w:ascii="Arial" w:hAnsi="Arial" w:cs="Arial"/>
          <w:sz w:val="20"/>
        </w:rPr>
        <w:t xml:space="preserve"> has been scheduled for the proposed project.  Any person interested in commenting on the proposal and recommended environmental determination may speak at the hearing or provide written testimony at or prior to the hearing.  The project application, supporting plans  and environmental documents may be inspected at the Community Development Department at 14177 Frederick Street, Moreno Valley, California during normal business hours (7:30 a.m. to 5:30 p.m., Monday through Thursday and 7:30 a.m. to 4:30 p.m., Friday), or you may telephone (951) 413-3206 for further information.</w:t>
      </w:r>
    </w:p>
    <w:p w:rsidR="00315101" w:rsidRDefault="00315101">
      <w:pPr>
        <w:jc w:val="both"/>
        <w:rPr>
          <w:rFonts w:ascii="Arial" w:hAnsi="Arial" w:cs="Arial"/>
          <w:sz w:val="20"/>
        </w:rPr>
      </w:pPr>
    </w:p>
    <w:p w:rsidR="00CA1F48" w:rsidRDefault="004F5E90">
      <w:pPr>
        <w:jc w:val="both"/>
        <w:rPr>
          <w:rFonts w:ascii="Arial" w:hAnsi="Arial" w:cs="Arial"/>
          <w:sz w:val="20"/>
        </w:rPr>
      </w:pPr>
      <w:r w:rsidRPr="009910E5">
        <w:rPr>
          <w:rFonts w:ascii="Arial" w:hAnsi="Arial" w:cs="Arial"/>
          <w:sz w:val="20"/>
        </w:rPr>
        <w:t xml:space="preserve"> </w:t>
      </w:r>
    </w:p>
    <w:p w:rsidR="00CA1F48" w:rsidRPr="00B750E3" w:rsidRDefault="00CA1F48" w:rsidP="00E86E9D">
      <w:pPr>
        <w:jc w:val="both"/>
        <w:rPr>
          <w:color w:val="FF0000"/>
        </w:rPr>
      </w:pPr>
      <w:r w:rsidRPr="00E86E9D">
        <w:rPr>
          <w:rFonts w:ascii="Arial" w:hAnsi="Arial" w:cs="Arial"/>
          <w:sz w:val="20"/>
        </w:rPr>
        <w:lastRenderedPageBreak/>
        <w:t xml:space="preserve">The </w:t>
      </w:r>
      <w:r w:rsidR="00211B03">
        <w:rPr>
          <w:rFonts w:ascii="Arial" w:hAnsi="Arial" w:cs="Arial"/>
          <w:sz w:val="20"/>
        </w:rPr>
        <w:t>City Council</w:t>
      </w:r>
      <w:r w:rsidRPr="00E86E9D">
        <w:rPr>
          <w:rFonts w:ascii="Arial" w:hAnsi="Arial" w:cs="Arial"/>
          <w:sz w:val="20"/>
        </w:rPr>
        <w:t xml:space="preserve">, at the Hearing or during deliberations, could approve changes or alternatives to the proposal.  If you challenge any of these items in court, you may be limited to raising only those items you or someone else raised at the Public Hearing described in this notice, or in written correspondence delivered to the </w:t>
      </w:r>
      <w:r w:rsidR="00211B03">
        <w:rPr>
          <w:rFonts w:ascii="Arial" w:hAnsi="Arial" w:cs="Arial"/>
          <w:sz w:val="20"/>
        </w:rPr>
        <w:t>City Council</w:t>
      </w:r>
      <w:r w:rsidRPr="00E86E9D">
        <w:rPr>
          <w:rFonts w:ascii="Arial" w:hAnsi="Arial" w:cs="Arial"/>
          <w:sz w:val="20"/>
        </w:rPr>
        <w:t xml:space="preserve"> at, or</w:t>
      </w:r>
      <w:r w:rsidR="002F2B63" w:rsidRPr="00E86E9D">
        <w:rPr>
          <w:rFonts w:ascii="Arial" w:hAnsi="Arial" w:cs="Arial"/>
          <w:sz w:val="20"/>
        </w:rPr>
        <w:t xml:space="preserve"> prior to, the Public Hearing.</w:t>
      </w:r>
      <w:r w:rsidR="002F2B63" w:rsidRPr="009921EE">
        <w:tab/>
      </w:r>
      <w:r w:rsidRPr="00B750E3">
        <w:rPr>
          <w:color w:val="FF0000"/>
        </w:rPr>
        <w:tab/>
      </w:r>
    </w:p>
    <w:p w:rsidR="00CA1F48" w:rsidRPr="00B750E3" w:rsidRDefault="00CA1F48">
      <w:pPr>
        <w:rPr>
          <w:rFonts w:ascii="Arial" w:hAnsi="Arial"/>
          <w:color w:val="FF0000"/>
          <w:sz w:val="16"/>
        </w:rPr>
      </w:pPr>
    </w:p>
    <w:tbl>
      <w:tblPr>
        <w:tblW w:w="5000" w:type="pct"/>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5424"/>
      </w:tblGrid>
      <w:tr w:rsidR="006D39C5" w:rsidRPr="00B750E3" w:rsidTr="006D39C5">
        <w:trPr>
          <w:trHeight w:hRule="exact" w:val="4711"/>
        </w:trPr>
        <w:tc>
          <w:tcPr>
            <w:tcW w:w="5000" w:type="pct"/>
          </w:tcPr>
          <w:p w:rsidR="00652323" w:rsidRPr="00B750E3" w:rsidRDefault="00315101" w:rsidP="0029211F">
            <w:pPr>
              <w:spacing w:after="58"/>
              <w:ind w:left="-120"/>
              <w:jc w:val="both"/>
              <w:rPr>
                <w:rFonts w:ascii="Arial" w:hAnsi="Arial"/>
                <w:color w:val="FF0000"/>
                <w:sz w:val="16"/>
              </w:rPr>
            </w:pPr>
            <w:r>
              <w:rPr>
                <w:rFonts w:ascii="Arial" w:hAnsi="Arial"/>
                <w:noProof/>
                <w:snapToGrid/>
                <w:color w:val="FF0000"/>
                <w:sz w:val="16"/>
              </w:rPr>
              <w:t xml:space="preserve">   </w:t>
            </w:r>
            <w:r w:rsidR="007751D7">
              <w:rPr>
                <w:rFonts w:ascii="Arial" w:hAnsi="Arial"/>
                <w:noProof/>
                <w:snapToGrid/>
                <w:color w:val="FF0000"/>
                <w:sz w:val="16"/>
              </w:rPr>
              <w:drawing>
                <wp:inline distT="0" distB="0" distL="0" distR="0">
                  <wp:extent cx="3270325" cy="291532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0325" cy="2915322"/>
                          </a:xfrm>
                          <a:prstGeom prst="rect">
                            <a:avLst/>
                          </a:prstGeom>
                          <a:noFill/>
                          <a:ln>
                            <a:noFill/>
                          </a:ln>
                        </pic:spPr>
                      </pic:pic>
                    </a:graphicData>
                  </a:graphic>
                </wp:inline>
              </w:drawing>
            </w:r>
          </w:p>
        </w:tc>
      </w:tr>
    </w:tbl>
    <w:p w:rsidR="00CA1F48" w:rsidRPr="00B750E3" w:rsidRDefault="00CA1F48">
      <w:pPr>
        <w:jc w:val="center"/>
        <w:rPr>
          <w:rFonts w:ascii="Arial" w:hAnsi="Arial"/>
          <w:b/>
          <w:sz w:val="36"/>
        </w:rPr>
      </w:pPr>
      <w:r w:rsidRPr="00B750E3">
        <w:rPr>
          <w:rFonts w:ascii="Arial" w:hAnsi="Arial"/>
          <w:b/>
          <w:sz w:val="36"/>
        </w:rPr>
        <w:t xml:space="preserve">LOCATION     N </w:t>
      </w:r>
      <w:r w:rsidRPr="00B750E3">
        <w:rPr>
          <w:rFonts w:ascii="Arial" w:hAnsi="Arial"/>
          <w:b/>
          <w:sz w:val="36"/>
        </w:rPr>
        <w:sym w:font="Wingdings" w:char="F0E9"/>
      </w:r>
    </w:p>
    <w:p w:rsidR="00CA1F48" w:rsidRPr="0016042C" w:rsidRDefault="00CA1F48">
      <w:pPr>
        <w:jc w:val="center"/>
        <w:rPr>
          <w:rFonts w:ascii="Arial" w:hAnsi="Arial"/>
          <w:szCs w:val="24"/>
        </w:rPr>
      </w:pPr>
    </w:p>
    <w:p w:rsidR="00CA1F48" w:rsidRPr="00B750E3" w:rsidRDefault="00211B03">
      <w:pPr>
        <w:pStyle w:val="Heading1"/>
      </w:pPr>
      <w:r>
        <w:t>CITY COUNCIL</w:t>
      </w:r>
      <w:r w:rsidR="00CA1F48" w:rsidRPr="00B750E3">
        <w:t xml:space="preserve"> HEARING</w:t>
      </w:r>
    </w:p>
    <w:p w:rsidR="00CA1F48" w:rsidRPr="0016042C" w:rsidRDefault="00CA1F48">
      <w:pPr>
        <w:rPr>
          <w:rFonts w:ascii="Arial" w:hAnsi="Arial"/>
          <w:sz w:val="20"/>
        </w:rPr>
      </w:pPr>
    </w:p>
    <w:p w:rsidR="00CA1F48" w:rsidRPr="00B750E3" w:rsidRDefault="00CA1F48">
      <w:pPr>
        <w:ind w:firstLine="720"/>
        <w:outlineLvl w:val="0"/>
        <w:rPr>
          <w:rFonts w:ascii="Arial" w:hAnsi="Arial"/>
        </w:rPr>
      </w:pPr>
      <w:r w:rsidRPr="00B750E3">
        <w:rPr>
          <w:rFonts w:ascii="Arial" w:hAnsi="Arial"/>
        </w:rPr>
        <w:t>City Council Chamber, City Hall</w:t>
      </w:r>
    </w:p>
    <w:p w:rsidR="00CA1F48" w:rsidRPr="00B750E3" w:rsidRDefault="00CA1F48">
      <w:pPr>
        <w:rPr>
          <w:rFonts w:ascii="Arial" w:hAnsi="Arial"/>
        </w:rPr>
      </w:pPr>
      <w:r w:rsidRPr="00B750E3">
        <w:rPr>
          <w:rFonts w:ascii="Arial" w:hAnsi="Arial"/>
        </w:rPr>
        <w:t xml:space="preserve">           14177 Frederick Street</w:t>
      </w:r>
    </w:p>
    <w:p w:rsidR="00CA1F48" w:rsidRPr="00B750E3" w:rsidRDefault="00CA1F48">
      <w:pPr>
        <w:rPr>
          <w:rFonts w:ascii="Arial" w:hAnsi="Arial"/>
        </w:rPr>
      </w:pPr>
      <w:r w:rsidRPr="00B750E3">
        <w:rPr>
          <w:rFonts w:ascii="Arial" w:hAnsi="Arial"/>
        </w:rPr>
        <w:t xml:space="preserve">            Moreno Valley, Calif.  92553</w:t>
      </w:r>
    </w:p>
    <w:p w:rsidR="00CA1F48" w:rsidRPr="0016042C" w:rsidRDefault="00CA1F48">
      <w:pPr>
        <w:rPr>
          <w:rFonts w:ascii="Arial" w:hAnsi="Arial"/>
          <w:sz w:val="20"/>
        </w:rPr>
      </w:pPr>
    </w:p>
    <w:p w:rsidR="00CA1F48" w:rsidRPr="00067174" w:rsidRDefault="00C2355B" w:rsidP="00E86E9D">
      <w:pPr>
        <w:outlineLvl w:val="0"/>
        <w:rPr>
          <w:rFonts w:ascii="Arial" w:hAnsi="Arial"/>
          <w:sz w:val="22"/>
          <w:szCs w:val="22"/>
        </w:rPr>
      </w:pPr>
      <w:r w:rsidRPr="00067174">
        <w:rPr>
          <w:rFonts w:ascii="Arial" w:hAnsi="Arial"/>
          <w:b/>
          <w:sz w:val="22"/>
          <w:szCs w:val="22"/>
        </w:rPr>
        <w:t xml:space="preserve">DATE AND TIME: </w:t>
      </w:r>
      <w:r w:rsidR="00211B03">
        <w:rPr>
          <w:rFonts w:ascii="Arial" w:hAnsi="Arial"/>
          <w:b/>
          <w:sz w:val="22"/>
          <w:szCs w:val="22"/>
        </w:rPr>
        <w:t xml:space="preserve"> </w:t>
      </w:r>
      <w:r w:rsidR="00211B03">
        <w:rPr>
          <w:rFonts w:ascii="Arial" w:hAnsi="Arial"/>
          <w:sz w:val="22"/>
          <w:szCs w:val="22"/>
        </w:rPr>
        <w:t>March 21</w:t>
      </w:r>
      <w:r w:rsidR="00E417B2" w:rsidRPr="00067174">
        <w:rPr>
          <w:rFonts w:ascii="Arial" w:hAnsi="Arial"/>
          <w:sz w:val="22"/>
          <w:szCs w:val="22"/>
        </w:rPr>
        <w:t>, 201</w:t>
      </w:r>
      <w:r w:rsidR="008F7C70">
        <w:rPr>
          <w:rFonts w:ascii="Arial" w:hAnsi="Arial"/>
          <w:sz w:val="22"/>
          <w:szCs w:val="22"/>
        </w:rPr>
        <w:t>7</w:t>
      </w:r>
      <w:r w:rsidR="00E417B2" w:rsidRPr="00067174">
        <w:rPr>
          <w:rFonts w:ascii="Arial" w:hAnsi="Arial"/>
          <w:sz w:val="22"/>
          <w:szCs w:val="22"/>
        </w:rPr>
        <w:t xml:space="preserve">, </w:t>
      </w:r>
      <w:r w:rsidR="00211B03">
        <w:rPr>
          <w:rFonts w:ascii="Arial" w:hAnsi="Arial"/>
          <w:sz w:val="22"/>
          <w:szCs w:val="22"/>
        </w:rPr>
        <w:t>6</w:t>
      </w:r>
      <w:r w:rsidR="00E417B2" w:rsidRPr="00067174">
        <w:rPr>
          <w:rFonts w:ascii="Arial" w:hAnsi="Arial"/>
          <w:sz w:val="22"/>
          <w:szCs w:val="22"/>
        </w:rPr>
        <w:t>:</w:t>
      </w:r>
      <w:r w:rsidR="00B76F64">
        <w:rPr>
          <w:rFonts w:ascii="Arial" w:hAnsi="Arial"/>
          <w:sz w:val="22"/>
          <w:szCs w:val="22"/>
        </w:rPr>
        <w:t>0</w:t>
      </w:r>
      <w:r w:rsidR="00E417B2" w:rsidRPr="00067174">
        <w:rPr>
          <w:rFonts w:ascii="Arial" w:hAnsi="Arial"/>
          <w:sz w:val="22"/>
          <w:szCs w:val="22"/>
        </w:rPr>
        <w:t>0 p.m.</w:t>
      </w:r>
    </w:p>
    <w:p w:rsidR="00CA1F48" w:rsidRPr="00067174" w:rsidRDefault="00E417B2">
      <w:pPr>
        <w:outlineLvl w:val="0"/>
        <w:rPr>
          <w:rFonts w:ascii="Arial" w:hAnsi="Arial"/>
          <w:sz w:val="22"/>
          <w:szCs w:val="22"/>
        </w:rPr>
      </w:pPr>
      <w:bookmarkStart w:id="2" w:name="a11"/>
      <w:r w:rsidRPr="00067174">
        <w:rPr>
          <w:rFonts w:ascii="Arial" w:hAnsi="Arial"/>
          <w:b/>
          <w:sz w:val="22"/>
          <w:szCs w:val="22"/>
        </w:rPr>
        <w:t xml:space="preserve">CONTACT PLANNER: </w:t>
      </w:r>
      <w:r w:rsidRPr="00067174">
        <w:rPr>
          <w:rFonts w:ascii="Arial" w:hAnsi="Arial"/>
          <w:sz w:val="22"/>
          <w:szCs w:val="22"/>
        </w:rPr>
        <w:t>Jeff Bradshaw</w:t>
      </w:r>
    </w:p>
    <w:bookmarkEnd w:id="2"/>
    <w:p w:rsidR="00CD3CB7" w:rsidRPr="00067174" w:rsidRDefault="00CA1F48" w:rsidP="002A446C">
      <w:pPr>
        <w:outlineLvl w:val="0"/>
        <w:rPr>
          <w:rFonts w:ascii="Arial" w:hAnsi="Arial"/>
          <w:i/>
          <w:sz w:val="22"/>
          <w:szCs w:val="22"/>
        </w:rPr>
      </w:pPr>
      <w:r w:rsidRPr="00067174">
        <w:rPr>
          <w:rFonts w:ascii="Arial" w:hAnsi="Arial"/>
          <w:b/>
          <w:sz w:val="22"/>
          <w:szCs w:val="22"/>
        </w:rPr>
        <w:t>PHONE:</w:t>
      </w:r>
      <w:r w:rsidR="00E417B2" w:rsidRPr="00067174">
        <w:rPr>
          <w:rFonts w:ascii="Arial" w:hAnsi="Arial"/>
          <w:sz w:val="22"/>
          <w:szCs w:val="22"/>
        </w:rPr>
        <w:t xml:space="preserve"> </w:t>
      </w:r>
      <w:r w:rsidR="00067174">
        <w:rPr>
          <w:rFonts w:ascii="Arial" w:hAnsi="Arial"/>
          <w:sz w:val="22"/>
          <w:szCs w:val="22"/>
        </w:rPr>
        <w:t xml:space="preserve"> </w:t>
      </w:r>
      <w:r w:rsidR="00E417B2" w:rsidRPr="00067174">
        <w:rPr>
          <w:rFonts w:ascii="Arial" w:hAnsi="Arial"/>
          <w:sz w:val="22"/>
          <w:szCs w:val="22"/>
        </w:rPr>
        <w:t>(951) 413-3224</w:t>
      </w:r>
    </w:p>
    <w:p w:rsidR="0016042C" w:rsidRPr="0016042C" w:rsidRDefault="0016042C" w:rsidP="002A446C">
      <w:pPr>
        <w:outlineLvl w:val="0"/>
        <w:rPr>
          <w:rFonts w:ascii="Arial" w:hAnsi="Arial"/>
          <w:sz w:val="20"/>
        </w:rPr>
      </w:pPr>
    </w:p>
    <w:p w:rsidR="0016042C" w:rsidRPr="008C702E" w:rsidRDefault="0016042C" w:rsidP="0016042C">
      <w:pPr>
        <w:jc w:val="both"/>
        <w:outlineLvl w:val="0"/>
        <w:rPr>
          <w:rFonts w:ascii="Arial" w:hAnsi="Arial"/>
          <w:color w:val="FF0000"/>
          <w:sz w:val="16"/>
          <w:szCs w:val="16"/>
        </w:rPr>
      </w:pPr>
      <w:r w:rsidRPr="008C702E">
        <w:rPr>
          <w:rFonts w:ascii="Arial" w:hAnsi="Arial" w:cs="Arial"/>
          <w:i/>
          <w:sz w:val="16"/>
          <w:szCs w:val="16"/>
        </w:rPr>
        <w:t>Upon request and in compliance with the Americans with Disabilities Act of 1990, any person with a disability who requires a modification or accommodation in order to participate in a meeting should direct such request to Guy Pegan, ADA Coordinator, at 951.413.3120 at least 48 hours before the meeting. The 48-hour notification will enable the City to make reasonable arrangements to ensure accessibility to this meeting.</w:t>
      </w:r>
    </w:p>
    <w:sectPr w:rsidR="0016042C" w:rsidRPr="008C702E" w:rsidSect="00067174">
      <w:endnotePr>
        <w:numFmt w:val="decimal"/>
      </w:endnotePr>
      <w:type w:val="continuous"/>
      <w:pgSz w:w="12240" w:h="15840"/>
      <w:pgMar w:top="720" w:right="576" w:bottom="540" w:left="576" w:header="720" w:footer="849" w:gutter="0"/>
      <w:cols w:num="2" w:space="720" w:equalWidth="0">
        <w:col w:w="5544" w:space="360"/>
        <w:col w:w="5184"/>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D7"/>
    <w:rsid w:val="0001201A"/>
    <w:rsid w:val="00054AD0"/>
    <w:rsid w:val="00067174"/>
    <w:rsid w:val="0007051F"/>
    <w:rsid w:val="000722BF"/>
    <w:rsid w:val="0008561F"/>
    <w:rsid w:val="000868D4"/>
    <w:rsid w:val="00091EAC"/>
    <w:rsid w:val="000935D5"/>
    <w:rsid w:val="00095BA6"/>
    <w:rsid w:val="000960E8"/>
    <w:rsid w:val="000A2995"/>
    <w:rsid w:val="000A32C8"/>
    <w:rsid w:val="000A494F"/>
    <w:rsid w:val="000C1C80"/>
    <w:rsid w:val="000D12C0"/>
    <w:rsid w:val="000D23F3"/>
    <w:rsid w:val="00102B7F"/>
    <w:rsid w:val="00153E9A"/>
    <w:rsid w:val="001557C6"/>
    <w:rsid w:val="00156466"/>
    <w:rsid w:val="0016042C"/>
    <w:rsid w:val="00170029"/>
    <w:rsid w:val="00171DBF"/>
    <w:rsid w:val="001A3A4C"/>
    <w:rsid w:val="00204C66"/>
    <w:rsid w:val="00211B03"/>
    <w:rsid w:val="002132AA"/>
    <w:rsid w:val="00221B87"/>
    <w:rsid w:val="0029211F"/>
    <w:rsid w:val="00292462"/>
    <w:rsid w:val="00293156"/>
    <w:rsid w:val="002A446C"/>
    <w:rsid w:val="002B2E2E"/>
    <w:rsid w:val="002D4311"/>
    <w:rsid w:val="002E6458"/>
    <w:rsid w:val="002F2B63"/>
    <w:rsid w:val="00315101"/>
    <w:rsid w:val="003170E7"/>
    <w:rsid w:val="0036314F"/>
    <w:rsid w:val="0036373E"/>
    <w:rsid w:val="00381B03"/>
    <w:rsid w:val="003A2C0C"/>
    <w:rsid w:val="003A5986"/>
    <w:rsid w:val="003A62C7"/>
    <w:rsid w:val="003B0312"/>
    <w:rsid w:val="003B1FAA"/>
    <w:rsid w:val="003E274D"/>
    <w:rsid w:val="003F2EEF"/>
    <w:rsid w:val="003F6F44"/>
    <w:rsid w:val="004031BE"/>
    <w:rsid w:val="004069FF"/>
    <w:rsid w:val="0042177A"/>
    <w:rsid w:val="00423FA7"/>
    <w:rsid w:val="00426171"/>
    <w:rsid w:val="00433419"/>
    <w:rsid w:val="0045045D"/>
    <w:rsid w:val="00466242"/>
    <w:rsid w:val="00472D17"/>
    <w:rsid w:val="004D6D7C"/>
    <w:rsid w:val="004F2934"/>
    <w:rsid w:val="004F5BE3"/>
    <w:rsid w:val="004F5E90"/>
    <w:rsid w:val="00504523"/>
    <w:rsid w:val="0052207D"/>
    <w:rsid w:val="00522425"/>
    <w:rsid w:val="00535558"/>
    <w:rsid w:val="00535FB6"/>
    <w:rsid w:val="005548E2"/>
    <w:rsid w:val="005724E3"/>
    <w:rsid w:val="005769EE"/>
    <w:rsid w:val="005B3269"/>
    <w:rsid w:val="005C41AE"/>
    <w:rsid w:val="005E31D7"/>
    <w:rsid w:val="00603DCE"/>
    <w:rsid w:val="00615D8C"/>
    <w:rsid w:val="006177B3"/>
    <w:rsid w:val="00633AAB"/>
    <w:rsid w:val="00634726"/>
    <w:rsid w:val="00652323"/>
    <w:rsid w:val="00666930"/>
    <w:rsid w:val="00671340"/>
    <w:rsid w:val="006768D2"/>
    <w:rsid w:val="006854B7"/>
    <w:rsid w:val="00695D3E"/>
    <w:rsid w:val="006D0485"/>
    <w:rsid w:val="006D39C5"/>
    <w:rsid w:val="006D500C"/>
    <w:rsid w:val="00700584"/>
    <w:rsid w:val="00731465"/>
    <w:rsid w:val="00750E13"/>
    <w:rsid w:val="007511D7"/>
    <w:rsid w:val="007606EB"/>
    <w:rsid w:val="00761B0D"/>
    <w:rsid w:val="00765A4F"/>
    <w:rsid w:val="007751D7"/>
    <w:rsid w:val="00796B38"/>
    <w:rsid w:val="007A0EF1"/>
    <w:rsid w:val="007A1EE0"/>
    <w:rsid w:val="007B0D70"/>
    <w:rsid w:val="007B670B"/>
    <w:rsid w:val="007D69A4"/>
    <w:rsid w:val="007E3E0E"/>
    <w:rsid w:val="007E3F9C"/>
    <w:rsid w:val="007E57DA"/>
    <w:rsid w:val="00803C1B"/>
    <w:rsid w:val="00813B5C"/>
    <w:rsid w:val="008215A5"/>
    <w:rsid w:val="008244E4"/>
    <w:rsid w:val="00836C51"/>
    <w:rsid w:val="008420D0"/>
    <w:rsid w:val="00843AEE"/>
    <w:rsid w:val="00850FC7"/>
    <w:rsid w:val="008579B6"/>
    <w:rsid w:val="00867DF1"/>
    <w:rsid w:val="0087575C"/>
    <w:rsid w:val="00892924"/>
    <w:rsid w:val="008B023C"/>
    <w:rsid w:val="008C702E"/>
    <w:rsid w:val="008E51F6"/>
    <w:rsid w:val="008F7C70"/>
    <w:rsid w:val="00901353"/>
    <w:rsid w:val="00906985"/>
    <w:rsid w:val="0094252D"/>
    <w:rsid w:val="00945B8E"/>
    <w:rsid w:val="009910E5"/>
    <w:rsid w:val="009921EE"/>
    <w:rsid w:val="00997EC5"/>
    <w:rsid w:val="009D5B51"/>
    <w:rsid w:val="009D62A7"/>
    <w:rsid w:val="00A15D94"/>
    <w:rsid w:val="00A235E6"/>
    <w:rsid w:val="00A2617D"/>
    <w:rsid w:val="00A3552B"/>
    <w:rsid w:val="00A87CF3"/>
    <w:rsid w:val="00A950C9"/>
    <w:rsid w:val="00AA2ADC"/>
    <w:rsid w:val="00AA3FE7"/>
    <w:rsid w:val="00AA4734"/>
    <w:rsid w:val="00AB5C01"/>
    <w:rsid w:val="00AD0450"/>
    <w:rsid w:val="00AF04BB"/>
    <w:rsid w:val="00B15B3B"/>
    <w:rsid w:val="00B160E1"/>
    <w:rsid w:val="00B750E3"/>
    <w:rsid w:val="00B76F64"/>
    <w:rsid w:val="00B90E0A"/>
    <w:rsid w:val="00B9682A"/>
    <w:rsid w:val="00BA590E"/>
    <w:rsid w:val="00BA6051"/>
    <w:rsid w:val="00BC1FCC"/>
    <w:rsid w:val="00C04695"/>
    <w:rsid w:val="00C2355B"/>
    <w:rsid w:val="00C30880"/>
    <w:rsid w:val="00C30BBA"/>
    <w:rsid w:val="00C37887"/>
    <w:rsid w:val="00C46C9E"/>
    <w:rsid w:val="00C47563"/>
    <w:rsid w:val="00C6180B"/>
    <w:rsid w:val="00C61980"/>
    <w:rsid w:val="00C7406D"/>
    <w:rsid w:val="00C80137"/>
    <w:rsid w:val="00C849BA"/>
    <w:rsid w:val="00CA1F48"/>
    <w:rsid w:val="00CA2B33"/>
    <w:rsid w:val="00CD3CB7"/>
    <w:rsid w:val="00CD6DDE"/>
    <w:rsid w:val="00D20FC3"/>
    <w:rsid w:val="00D41D05"/>
    <w:rsid w:val="00D63DB0"/>
    <w:rsid w:val="00D63E0D"/>
    <w:rsid w:val="00D670CD"/>
    <w:rsid w:val="00DB0DDC"/>
    <w:rsid w:val="00DB1421"/>
    <w:rsid w:val="00DB28BA"/>
    <w:rsid w:val="00DC2869"/>
    <w:rsid w:val="00DE23BD"/>
    <w:rsid w:val="00DE255E"/>
    <w:rsid w:val="00DF3CFE"/>
    <w:rsid w:val="00DF6CA5"/>
    <w:rsid w:val="00E0085A"/>
    <w:rsid w:val="00E127DE"/>
    <w:rsid w:val="00E335E6"/>
    <w:rsid w:val="00E417B2"/>
    <w:rsid w:val="00E44F97"/>
    <w:rsid w:val="00E618BC"/>
    <w:rsid w:val="00E86E9D"/>
    <w:rsid w:val="00EC2FFB"/>
    <w:rsid w:val="00EC4CD7"/>
    <w:rsid w:val="00ED6D29"/>
    <w:rsid w:val="00EF154E"/>
    <w:rsid w:val="00EF7551"/>
    <w:rsid w:val="00F02A6F"/>
    <w:rsid w:val="00F1037F"/>
    <w:rsid w:val="00F26617"/>
    <w:rsid w:val="00F32ECF"/>
    <w:rsid w:val="00F361DB"/>
    <w:rsid w:val="00F45037"/>
    <w:rsid w:val="00F629BC"/>
    <w:rsid w:val="00F70E08"/>
    <w:rsid w:val="00FA10B9"/>
    <w:rsid w:val="00FD201A"/>
    <w:rsid w:val="00FE6CF1"/>
    <w:rsid w:val="00FE7806"/>
    <w:rsid w:val="00FF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sz w:val="20"/>
    </w:rPr>
  </w:style>
  <w:style w:type="paragraph" w:styleId="BodyTextIndent2">
    <w:name w:val="Body Text Indent 2"/>
    <w:basedOn w:val="Normal"/>
    <w:link w:val="BodyTextIndent2Char"/>
    <w:rsid w:val="0036373E"/>
    <w:pPr>
      <w:spacing w:after="120" w:line="480" w:lineRule="auto"/>
      <w:ind w:left="360"/>
    </w:pPr>
  </w:style>
  <w:style w:type="character" w:customStyle="1" w:styleId="BodyTextIndent2Char">
    <w:name w:val="Body Text Indent 2 Char"/>
    <w:link w:val="BodyTextIndent2"/>
    <w:rsid w:val="0036373E"/>
    <w:rPr>
      <w:snapToGrid w:val="0"/>
      <w:sz w:val="24"/>
    </w:rPr>
  </w:style>
  <w:style w:type="paragraph" w:styleId="BodyTextIndent">
    <w:name w:val="Body Text Indent"/>
    <w:basedOn w:val="Normal"/>
    <w:link w:val="BodyTextIndentChar"/>
    <w:rsid w:val="00535558"/>
    <w:pPr>
      <w:spacing w:after="120"/>
      <w:ind w:left="360"/>
    </w:pPr>
  </w:style>
  <w:style w:type="character" w:customStyle="1" w:styleId="BodyTextIndentChar">
    <w:name w:val="Body Text Indent Char"/>
    <w:link w:val="BodyTextIndent"/>
    <w:rsid w:val="00535558"/>
    <w:rPr>
      <w:snapToGrid w:val="0"/>
      <w:sz w:val="24"/>
    </w:rPr>
  </w:style>
  <w:style w:type="paragraph" w:styleId="Caption">
    <w:name w:val="caption"/>
    <w:basedOn w:val="Normal"/>
    <w:next w:val="Normal"/>
    <w:unhideWhenUsed/>
    <w:qFormat/>
    <w:rsid w:val="00892924"/>
    <w:rPr>
      <w:b/>
      <w:bCs/>
      <w:sz w:val="20"/>
    </w:rPr>
  </w:style>
  <w:style w:type="paragraph" w:styleId="NormalWeb">
    <w:name w:val="Normal (Web)"/>
    <w:basedOn w:val="Normal"/>
    <w:uiPriority w:val="99"/>
    <w:unhideWhenUsed/>
    <w:rsid w:val="00892924"/>
    <w:pPr>
      <w:widowControl/>
      <w:spacing w:before="100" w:beforeAutospacing="1" w:after="100" w:afterAutospacing="1"/>
    </w:pPr>
    <w:rPr>
      <w:snapToGrid/>
      <w:szCs w:val="24"/>
    </w:rPr>
  </w:style>
  <w:style w:type="paragraph" w:styleId="BalloonText">
    <w:name w:val="Balloon Text"/>
    <w:basedOn w:val="Normal"/>
    <w:link w:val="BalloonTextChar"/>
    <w:rsid w:val="00945B8E"/>
    <w:rPr>
      <w:rFonts w:ascii="Tahoma" w:hAnsi="Tahoma" w:cs="Tahoma"/>
      <w:sz w:val="16"/>
      <w:szCs w:val="16"/>
    </w:rPr>
  </w:style>
  <w:style w:type="character" w:customStyle="1" w:styleId="BalloonTextChar">
    <w:name w:val="Balloon Text Char"/>
    <w:link w:val="BalloonText"/>
    <w:rsid w:val="00945B8E"/>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rFonts w:ascii="Arial" w:hAnsi="Arial"/>
      <w:sz w:val="20"/>
    </w:rPr>
  </w:style>
  <w:style w:type="paragraph" w:styleId="BodyTextIndent2">
    <w:name w:val="Body Text Indent 2"/>
    <w:basedOn w:val="Normal"/>
    <w:link w:val="BodyTextIndent2Char"/>
    <w:rsid w:val="0036373E"/>
    <w:pPr>
      <w:spacing w:after="120" w:line="480" w:lineRule="auto"/>
      <w:ind w:left="360"/>
    </w:pPr>
  </w:style>
  <w:style w:type="character" w:customStyle="1" w:styleId="BodyTextIndent2Char">
    <w:name w:val="Body Text Indent 2 Char"/>
    <w:link w:val="BodyTextIndent2"/>
    <w:rsid w:val="0036373E"/>
    <w:rPr>
      <w:snapToGrid w:val="0"/>
      <w:sz w:val="24"/>
    </w:rPr>
  </w:style>
  <w:style w:type="paragraph" w:styleId="BodyTextIndent">
    <w:name w:val="Body Text Indent"/>
    <w:basedOn w:val="Normal"/>
    <w:link w:val="BodyTextIndentChar"/>
    <w:rsid w:val="00535558"/>
    <w:pPr>
      <w:spacing w:after="120"/>
      <w:ind w:left="360"/>
    </w:pPr>
  </w:style>
  <w:style w:type="character" w:customStyle="1" w:styleId="BodyTextIndentChar">
    <w:name w:val="Body Text Indent Char"/>
    <w:link w:val="BodyTextIndent"/>
    <w:rsid w:val="00535558"/>
    <w:rPr>
      <w:snapToGrid w:val="0"/>
      <w:sz w:val="24"/>
    </w:rPr>
  </w:style>
  <w:style w:type="paragraph" w:styleId="Caption">
    <w:name w:val="caption"/>
    <w:basedOn w:val="Normal"/>
    <w:next w:val="Normal"/>
    <w:unhideWhenUsed/>
    <w:qFormat/>
    <w:rsid w:val="00892924"/>
    <w:rPr>
      <w:b/>
      <w:bCs/>
      <w:sz w:val="20"/>
    </w:rPr>
  </w:style>
  <w:style w:type="paragraph" w:styleId="NormalWeb">
    <w:name w:val="Normal (Web)"/>
    <w:basedOn w:val="Normal"/>
    <w:uiPriority w:val="99"/>
    <w:unhideWhenUsed/>
    <w:rsid w:val="00892924"/>
    <w:pPr>
      <w:widowControl/>
      <w:spacing w:before="100" w:beforeAutospacing="1" w:after="100" w:afterAutospacing="1"/>
    </w:pPr>
    <w:rPr>
      <w:snapToGrid/>
      <w:szCs w:val="24"/>
    </w:rPr>
  </w:style>
  <w:style w:type="paragraph" w:styleId="BalloonText">
    <w:name w:val="Balloon Text"/>
    <w:basedOn w:val="Normal"/>
    <w:link w:val="BalloonTextChar"/>
    <w:rsid w:val="00945B8E"/>
    <w:rPr>
      <w:rFonts w:ascii="Tahoma" w:hAnsi="Tahoma" w:cs="Tahoma"/>
      <w:sz w:val="16"/>
      <w:szCs w:val="16"/>
    </w:rPr>
  </w:style>
  <w:style w:type="character" w:customStyle="1" w:styleId="BalloonTextChar">
    <w:name w:val="Balloon Text Char"/>
    <w:link w:val="BalloonText"/>
    <w:rsid w:val="00945B8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7E20-C51E-419D-935E-CE59298B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Tadeo</dc:creator>
  <cp:lastModifiedBy>Jeff Bradshaw</cp:lastModifiedBy>
  <cp:revision>3</cp:revision>
  <cp:lastPrinted>2017-01-12T16:12:00Z</cp:lastPrinted>
  <dcterms:created xsi:type="dcterms:W3CDTF">2017-02-28T00:29:00Z</dcterms:created>
  <dcterms:modified xsi:type="dcterms:W3CDTF">2017-02-28T00:29:00Z</dcterms:modified>
</cp:coreProperties>
</file>