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201" w:rsidRDefault="00230BAC" w:rsidP="00513DC1">
      <w:pPr>
        <w:spacing w:before="100" w:beforeAutospacing="1" w:after="100" w:afterAutospacing="1" w:line="240" w:lineRule="auto"/>
        <w:jc w:val="center"/>
        <w:rPr>
          <w:rFonts w:ascii="Arial" w:eastAsia="Times New Roman" w:hAnsi="Arial" w:cs="Arial"/>
          <w:b/>
          <w:bCs/>
          <w:color w:val="000000"/>
          <w:sz w:val="32"/>
          <w:szCs w:val="32"/>
        </w:rPr>
      </w:pPr>
      <w:bookmarkStart w:id="0" w:name="_GoBack"/>
      <w:bookmarkEnd w:id="0"/>
      <w:r>
        <w:rPr>
          <w:rFonts w:ascii="Arial" w:eastAsia="Times New Roman" w:hAnsi="Arial" w:cs="Arial"/>
          <w:b/>
          <w:bCs/>
          <w:color w:val="000000"/>
          <w:sz w:val="32"/>
          <w:szCs w:val="32"/>
        </w:rPr>
        <w:t>Legacy Park Project</w:t>
      </w:r>
      <w:r w:rsidR="00435201" w:rsidRPr="00235F6C">
        <w:rPr>
          <w:rFonts w:ascii="Arial" w:eastAsia="Times New Roman" w:hAnsi="Arial" w:cs="Arial"/>
          <w:b/>
          <w:bCs/>
          <w:color w:val="000000"/>
          <w:sz w:val="32"/>
          <w:szCs w:val="32"/>
        </w:rPr>
        <w:t xml:space="preserve"> – Mitigation Monitoring and Reporting Program</w:t>
      </w:r>
    </w:p>
    <w:p w:rsidR="00435201" w:rsidRDefault="00230BAC" w:rsidP="00435201">
      <w:pPr>
        <w:spacing w:before="100" w:beforeAutospacing="1" w:after="100" w:afterAutospacing="1" w:line="240" w:lineRule="auto"/>
        <w:jc w:val="center"/>
        <w:rPr>
          <w:rFonts w:ascii="Arial" w:eastAsia="Times New Roman" w:hAnsi="Arial" w:cs="Arial"/>
          <w:b/>
          <w:bCs/>
          <w:color w:val="000000"/>
          <w:sz w:val="32"/>
          <w:szCs w:val="32"/>
        </w:rPr>
      </w:pPr>
      <w:r>
        <w:rPr>
          <w:rFonts w:ascii="Arial" w:eastAsia="Times New Roman" w:hAnsi="Arial" w:cs="Arial"/>
          <w:b/>
          <w:bCs/>
          <w:color w:val="000000"/>
          <w:sz w:val="32"/>
          <w:szCs w:val="32"/>
        </w:rPr>
        <w:t>Conditional Use Permit PEN16-0094 / Tentative Tract Map 36760 (</w:t>
      </w:r>
      <w:r w:rsidR="00435201">
        <w:rPr>
          <w:rFonts w:ascii="Arial" w:eastAsia="Times New Roman" w:hAnsi="Arial" w:cs="Arial"/>
          <w:b/>
          <w:bCs/>
          <w:color w:val="000000"/>
          <w:sz w:val="32"/>
          <w:szCs w:val="32"/>
        </w:rPr>
        <w:t>P</w:t>
      </w:r>
      <w:r>
        <w:rPr>
          <w:rFonts w:ascii="Arial" w:eastAsia="Times New Roman" w:hAnsi="Arial" w:cs="Arial"/>
          <w:b/>
          <w:bCs/>
          <w:color w:val="000000"/>
          <w:sz w:val="32"/>
          <w:szCs w:val="32"/>
        </w:rPr>
        <w:t>EN16-0095)</w:t>
      </w:r>
    </w:p>
    <w:p w:rsidR="00435201" w:rsidRPr="00235F6C" w:rsidRDefault="00435201" w:rsidP="00435201">
      <w:pPr>
        <w:spacing w:before="100" w:beforeAutospacing="1" w:after="100" w:afterAutospacing="1" w:line="240" w:lineRule="auto"/>
        <w:rPr>
          <w:rFonts w:ascii="Arial" w:eastAsia="Times New Roman" w:hAnsi="Arial" w:cs="Arial"/>
          <w:b/>
          <w:bCs/>
          <w:color w:val="000000"/>
        </w:rPr>
      </w:pPr>
    </w:p>
    <w:p w:rsidR="00435201" w:rsidRPr="00235F6C" w:rsidRDefault="00435201" w:rsidP="00435201">
      <w:pPr>
        <w:spacing w:before="100" w:beforeAutospacing="1" w:after="100" w:afterAutospacing="1" w:line="240" w:lineRule="auto"/>
        <w:rPr>
          <w:rFonts w:ascii="Arial" w:eastAsia="Times New Roman" w:hAnsi="Arial" w:cs="Arial"/>
        </w:rPr>
      </w:pPr>
      <w:r w:rsidRPr="00235F6C">
        <w:rPr>
          <w:rFonts w:ascii="Arial" w:eastAsia="Times New Roman" w:hAnsi="Arial" w:cs="Arial"/>
          <w:b/>
          <w:bCs/>
          <w:color w:val="000000"/>
        </w:rPr>
        <w:t xml:space="preserve">Introduction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This Mitigation Monitoring and Reporting Program has been prepared for use in implementing mitigation for </w:t>
      </w:r>
      <w:r>
        <w:rPr>
          <w:rFonts w:ascii="Arial" w:eastAsia="Times New Roman" w:hAnsi="Arial" w:cs="Arial"/>
          <w:color w:val="000000"/>
        </w:rPr>
        <w:t xml:space="preserve">the </w:t>
      </w:r>
      <w:r w:rsidRPr="00235F6C">
        <w:rPr>
          <w:rFonts w:ascii="Arial" w:eastAsia="Times New Roman" w:hAnsi="Arial" w:cs="Arial"/>
          <w:color w:val="000000"/>
        </w:rPr>
        <w:t>Mitigated Negative Declaration (MND)</w:t>
      </w:r>
      <w:r w:rsidRPr="00EE0D9D">
        <w:rPr>
          <w:rFonts w:ascii="Arial" w:eastAsia="Times New Roman" w:hAnsi="Arial" w:cs="Arial"/>
          <w:color w:val="000000"/>
        </w:rPr>
        <w:t xml:space="preserve"> </w:t>
      </w:r>
      <w:r>
        <w:rPr>
          <w:rFonts w:ascii="Arial" w:eastAsia="Times New Roman" w:hAnsi="Arial" w:cs="Arial"/>
          <w:color w:val="000000"/>
        </w:rPr>
        <w:t xml:space="preserve">for </w:t>
      </w:r>
      <w:r w:rsidR="00513DC1">
        <w:rPr>
          <w:rFonts w:ascii="Arial" w:eastAsia="Times New Roman" w:hAnsi="Arial" w:cs="Arial"/>
          <w:color w:val="000000"/>
        </w:rPr>
        <w:t xml:space="preserve">The </w:t>
      </w:r>
      <w:r w:rsidR="00230BAC">
        <w:rPr>
          <w:rFonts w:ascii="Arial" w:eastAsia="Times New Roman" w:hAnsi="Arial" w:cs="Arial"/>
          <w:color w:val="000000"/>
        </w:rPr>
        <w:t xml:space="preserve">Legacy Park </w:t>
      </w:r>
      <w:r w:rsidR="00513DC1">
        <w:rPr>
          <w:rFonts w:ascii="Arial" w:eastAsia="Times New Roman" w:hAnsi="Arial" w:cs="Arial"/>
          <w:color w:val="000000"/>
        </w:rPr>
        <w:t>(</w:t>
      </w:r>
      <w:r w:rsidR="00230BAC">
        <w:rPr>
          <w:rFonts w:ascii="Arial" w:eastAsia="Times New Roman" w:hAnsi="Arial" w:cs="Arial"/>
          <w:color w:val="000000"/>
        </w:rPr>
        <w:t>Conditional Use Permit PEN16-0094 and T</w:t>
      </w:r>
      <w:r>
        <w:rPr>
          <w:rFonts w:ascii="Arial" w:eastAsia="Times New Roman" w:hAnsi="Arial" w:cs="Arial"/>
          <w:color w:val="000000"/>
        </w:rPr>
        <w:t xml:space="preserve">entative </w:t>
      </w:r>
      <w:r w:rsidR="00230BAC">
        <w:rPr>
          <w:rFonts w:ascii="Arial" w:eastAsia="Times New Roman" w:hAnsi="Arial" w:cs="Arial"/>
          <w:color w:val="000000"/>
        </w:rPr>
        <w:t xml:space="preserve">Tract </w:t>
      </w:r>
      <w:r>
        <w:rPr>
          <w:rFonts w:ascii="Arial" w:eastAsia="Times New Roman" w:hAnsi="Arial" w:cs="Arial"/>
          <w:color w:val="000000"/>
        </w:rPr>
        <w:t>Map 3</w:t>
      </w:r>
      <w:r w:rsidR="00230BAC">
        <w:rPr>
          <w:rFonts w:ascii="Arial" w:eastAsia="Times New Roman" w:hAnsi="Arial" w:cs="Arial"/>
          <w:color w:val="000000"/>
        </w:rPr>
        <w:t>6760</w:t>
      </w:r>
      <w:r w:rsidR="00513DC1">
        <w:rPr>
          <w:rFonts w:ascii="Arial" w:eastAsia="Times New Roman" w:hAnsi="Arial" w:cs="Arial"/>
          <w:color w:val="000000"/>
        </w:rPr>
        <w:t>)</w:t>
      </w:r>
      <w:r w:rsidRPr="00235F6C">
        <w:rPr>
          <w:rFonts w:ascii="Arial" w:eastAsia="Times New Roman" w:hAnsi="Arial" w:cs="Arial"/>
          <w:color w:val="000000"/>
        </w:rPr>
        <w:t xml:space="preserve">. The program has been prepared in compliance with State law and the MND prepared for the project.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The California Environmental Quality Act (CEQA) requires adoption of a reporting or monitoring program for those measures places on a project to mitigated or avoid adverse effects on the environment (Public Resources Code Section 21081.6). The law states that the reporting or monitoring program shall be designed to ensure compliance during project implementation.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The monitoring program contains the following elements: </w:t>
      </w:r>
    </w:p>
    <w:p w:rsidR="00435201" w:rsidRPr="00235F6C" w:rsidRDefault="00435201" w:rsidP="00435201">
      <w:pPr>
        <w:numPr>
          <w:ilvl w:val="0"/>
          <w:numId w:val="1"/>
        </w:num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1. The mitigation measures are recorded with the action and procedure necessary to ensure compliance. In some instances, one action may be used to verify implementation of several mitigation measures. </w:t>
      </w:r>
    </w:p>
    <w:p w:rsidR="00435201" w:rsidRPr="00235F6C" w:rsidRDefault="00435201" w:rsidP="00435201">
      <w:pPr>
        <w:numPr>
          <w:ilvl w:val="0"/>
          <w:numId w:val="1"/>
        </w:num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2. A procedure for compliance and verification has been outlined for each action necessary. This procedure designates who will take action, what action will be taken and when, and to whom and when compliance will be reported. </w:t>
      </w:r>
    </w:p>
    <w:p w:rsidR="00435201" w:rsidRPr="00235F6C" w:rsidRDefault="00435201" w:rsidP="00435201">
      <w:pPr>
        <w:numPr>
          <w:ilvl w:val="0"/>
          <w:numId w:val="1"/>
        </w:num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3. The program has been designed to be flexible. As monitoring progresses, changes to compliance procedures may be necessary based upon recommendations by those responsible for the program. As changes are made, new monitoring compliance procedures are records will be developed and incorporated into the program.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b/>
          <w:bCs/>
          <w:color w:val="000000"/>
        </w:rPr>
        <w:t xml:space="preserve">Mitigation Monitoring and Responsibilities </w:t>
      </w:r>
    </w:p>
    <w:p w:rsidR="00435201" w:rsidRDefault="00435201" w:rsidP="00435201">
      <w:pPr>
        <w:spacing w:before="100" w:beforeAutospacing="1" w:after="100" w:afterAutospacing="1" w:line="240" w:lineRule="auto"/>
        <w:jc w:val="both"/>
        <w:rPr>
          <w:rFonts w:ascii="Arial" w:eastAsia="Times New Roman" w:hAnsi="Arial" w:cs="Arial"/>
          <w:color w:val="000000"/>
        </w:rPr>
      </w:pPr>
      <w:r w:rsidRPr="00235F6C">
        <w:rPr>
          <w:rFonts w:ascii="Arial" w:eastAsia="Times New Roman" w:hAnsi="Arial" w:cs="Arial"/>
          <w:color w:val="000000"/>
        </w:rPr>
        <w:t>As the Leady Agency, the City of Moreno Valley is responsible for ensuring full compliance with the mitigation measures adopted for the proposed project. The City will monitor and report on all mitigation activities. Mitigation measures will be implemented at different stages of development throughout the project. In this regards, the responsibilities for implementation have been assigned to the Applicant, Contractor, or a combination thereof. If during the course of project implementation, any of the mitigation measures identified herein cannot be successfully implemented, the City shall be immediately informed, and the City will then inform any affected responsible agencies. The City, in conjunction with any affected responsible agencies, will then determine if modification to the project is required and/or whether alternat</w:t>
      </w:r>
      <w:r>
        <w:rPr>
          <w:rFonts w:ascii="Arial" w:eastAsia="Times New Roman" w:hAnsi="Arial" w:cs="Arial"/>
          <w:color w:val="000000"/>
        </w:rPr>
        <w:t>ive mitigation is appropriate.</w:t>
      </w:r>
    </w:p>
    <w:p w:rsidR="00435201" w:rsidRDefault="00435201" w:rsidP="00435201">
      <w:pPr>
        <w:spacing w:before="100" w:beforeAutospacing="1" w:after="100" w:afterAutospacing="1" w:line="240" w:lineRule="auto"/>
        <w:jc w:val="both"/>
        <w:rPr>
          <w:rFonts w:ascii="Arial" w:eastAsia="Times New Roman" w:hAnsi="Arial" w:cs="Arial"/>
          <w:color w:val="000000"/>
        </w:rPr>
      </w:pPr>
    </w:p>
    <w:p w:rsidR="00435201" w:rsidRDefault="00435201" w:rsidP="00435201">
      <w:pPr>
        <w:spacing w:before="100" w:beforeAutospacing="1" w:after="100" w:afterAutospacing="1" w:line="240" w:lineRule="auto"/>
        <w:jc w:val="both"/>
        <w:rPr>
          <w:rFonts w:ascii="Arial" w:eastAsia="Times New Roman" w:hAnsi="Arial" w:cs="Arial"/>
          <w:color w:val="000000"/>
        </w:rPr>
      </w:pPr>
    </w:p>
    <w:p w:rsidR="00435201" w:rsidRPr="00EE0D9D" w:rsidRDefault="00435201" w:rsidP="00435201">
      <w:pPr>
        <w:spacing w:before="100" w:beforeAutospacing="1" w:after="100" w:afterAutospacing="1" w:line="240" w:lineRule="auto"/>
        <w:rPr>
          <w:rFonts w:ascii="Arial" w:eastAsia="Times New Roman" w:hAnsi="Arial" w:cs="Arial"/>
        </w:rPr>
      </w:pPr>
      <w:r w:rsidRPr="00EE0D9D">
        <w:rPr>
          <w:rFonts w:ascii="Arial" w:eastAsia="Times New Roman" w:hAnsi="Arial" w:cs="Arial"/>
          <w:b/>
          <w:bCs/>
          <w:color w:val="000000"/>
        </w:rPr>
        <w:lastRenderedPageBreak/>
        <w:t xml:space="preserve">Mitigation Monitoring and Reporting Program Checklist </w:t>
      </w:r>
    </w:p>
    <w:p w:rsidR="00435201" w:rsidRPr="00230BAC" w:rsidRDefault="00435201" w:rsidP="00435201">
      <w:pPr>
        <w:spacing w:before="100" w:beforeAutospacing="1" w:after="100" w:afterAutospacing="1" w:line="240" w:lineRule="auto"/>
        <w:rPr>
          <w:rFonts w:ascii="Arial" w:eastAsia="Times New Roman" w:hAnsi="Arial" w:cs="Arial"/>
          <w:b/>
          <w:bCs/>
          <w:color w:val="000000"/>
        </w:rPr>
      </w:pPr>
      <w:r w:rsidRPr="00EE0D9D">
        <w:rPr>
          <w:rFonts w:ascii="Arial" w:eastAsia="Times New Roman" w:hAnsi="Arial" w:cs="Arial"/>
          <w:b/>
          <w:bCs/>
          <w:color w:val="000000"/>
        </w:rPr>
        <w:t xml:space="preserve">Project: </w:t>
      </w:r>
      <w:r w:rsidR="00230BAC">
        <w:rPr>
          <w:rFonts w:ascii="Arial" w:eastAsia="Times New Roman" w:hAnsi="Arial" w:cs="Arial"/>
          <w:b/>
          <w:bCs/>
          <w:color w:val="000000"/>
        </w:rPr>
        <w:t xml:space="preserve">Legacy Park Project </w:t>
      </w:r>
      <w:r w:rsidR="00513DC1" w:rsidRPr="00230BAC">
        <w:rPr>
          <w:rFonts w:ascii="Arial" w:eastAsia="Times New Roman" w:hAnsi="Arial" w:cs="Arial"/>
          <w:b/>
          <w:bCs/>
          <w:color w:val="000000"/>
        </w:rPr>
        <w:t>(</w:t>
      </w:r>
      <w:r w:rsidR="00230BAC" w:rsidRPr="00230BAC">
        <w:rPr>
          <w:rFonts w:ascii="Arial" w:eastAsia="Times New Roman" w:hAnsi="Arial" w:cs="Arial"/>
          <w:b/>
          <w:color w:val="000000"/>
        </w:rPr>
        <w:t>Conditional Use Permit PEN16-0094 and Tentative Tract Map 36760</w:t>
      </w:r>
      <w:r w:rsidR="00513DC1" w:rsidRPr="00230BAC">
        <w:rPr>
          <w:rFonts w:ascii="Arial" w:eastAsia="Times New Roman" w:hAnsi="Arial" w:cs="Arial"/>
          <w:b/>
          <w:bCs/>
          <w:color w:val="000000"/>
        </w:rPr>
        <w:t>)</w:t>
      </w:r>
    </w:p>
    <w:p w:rsidR="00435201" w:rsidRPr="004A2CB7" w:rsidRDefault="00435201" w:rsidP="00435201">
      <w:pPr>
        <w:outlineLvl w:val="0"/>
        <w:rPr>
          <w:rFonts w:ascii="Arial" w:eastAsia="Times New Roman" w:hAnsi="Arial" w:cs="Times New Roman"/>
          <w:b/>
          <w:snapToGrid w:val="0"/>
        </w:rPr>
      </w:pPr>
      <w:r w:rsidRPr="00EE0D9D">
        <w:rPr>
          <w:rFonts w:ascii="Arial" w:eastAsia="Times New Roman" w:hAnsi="Arial" w:cs="Arial"/>
          <w:b/>
          <w:bCs/>
          <w:color w:val="000000"/>
        </w:rPr>
        <w:t xml:space="preserve">Applicant: </w:t>
      </w:r>
      <w:r w:rsidR="00230BAC">
        <w:rPr>
          <w:rFonts w:ascii="Arial" w:eastAsia="Times New Roman" w:hAnsi="Arial" w:cs="Arial"/>
          <w:b/>
          <w:bCs/>
          <w:color w:val="000000"/>
        </w:rPr>
        <w:t>Mission Pacific Land Company</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EE0D9D">
        <w:rPr>
          <w:rFonts w:ascii="Arial" w:eastAsia="Times New Roman" w:hAnsi="Arial" w:cs="Arial"/>
          <w:b/>
          <w:bCs/>
          <w:color w:val="000000"/>
        </w:rPr>
        <w:t xml:space="preserve">Date: </w:t>
      </w:r>
      <w:r w:rsidR="00230BAC">
        <w:rPr>
          <w:rFonts w:ascii="Arial" w:eastAsia="Times New Roman" w:hAnsi="Arial" w:cs="Arial"/>
          <w:b/>
          <w:bCs/>
          <w:color w:val="000000"/>
        </w:rPr>
        <w:t>January 18, 2017</w:t>
      </w:r>
    </w:p>
    <w:tbl>
      <w:tblPr>
        <w:tblStyle w:val="TableGrid"/>
        <w:tblW w:w="0" w:type="auto"/>
        <w:tblLook w:val="04A0" w:firstRow="1" w:lastRow="0" w:firstColumn="1" w:lastColumn="0" w:noHBand="0" w:noVBand="1"/>
      </w:tblPr>
      <w:tblGrid>
        <w:gridCol w:w="4030"/>
        <w:gridCol w:w="1958"/>
        <w:gridCol w:w="1379"/>
        <w:gridCol w:w="1362"/>
        <w:gridCol w:w="1605"/>
        <w:gridCol w:w="1386"/>
        <w:gridCol w:w="1456"/>
      </w:tblGrid>
      <w:tr w:rsidR="00AE138E" w:rsidTr="00B7150B">
        <w:tc>
          <w:tcPr>
            <w:tcW w:w="0" w:type="auto"/>
          </w:tcPr>
          <w:p w:rsidR="00435201" w:rsidRDefault="00435201" w:rsidP="00B7150B">
            <w:r>
              <w:rPr>
                <w:rFonts w:ascii="Arial" w:eastAsia="Times New Roman" w:hAnsi="Arial" w:cs="Arial"/>
                <w:b/>
                <w:bCs/>
                <w:color w:val="000000"/>
                <w:sz w:val="20"/>
                <w:szCs w:val="20"/>
              </w:rPr>
              <w:t>Mitigation Measure No.</w:t>
            </w:r>
          </w:p>
        </w:tc>
        <w:tc>
          <w:tcPr>
            <w:tcW w:w="0" w:type="auto"/>
          </w:tcPr>
          <w:p w:rsidR="00435201" w:rsidRDefault="00435201" w:rsidP="00B7150B">
            <w:r w:rsidRPr="00235F6C">
              <w:rPr>
                <w:rFonts w:ascii="Arial" w:eastAsia="Times New Roman" w:hAnsi="Arial" w:cs="Arial"/>
                <w:b/>
                <w:bCs/>
                <w:color w:val="000000"/>
                <w:sz w:val="20"/>
                <w:szCs w:val="20"/>
              </w:rPr>
              <w:t>Responsible for Monitoring</w:t>
            </w:r>
          </w:p>
        </w:tc>
        <w:tc>
          <w:tcPr>
            <w:tcW w:w="0" w:type="auto"/>
          </w:tcPr>
          <w:p w:rsidR="00435201" w:rsidRDefault="00435201" w:rsidP="00B7150B">
            <w:r w:rsidRPr="00235F6C">
              <w:rPr>
                <w:rFonts w:ascii="Arial" w:eastAsia="Times New Roman" w:hAnsi="Arial" w:cs="Arial"/>
                <w:b/>
                <w:bCs/>
                <w:color w:val="000000"/>
                <w:sz w:val="20"/>
                <w:szCs w:val="20"/>
              </w:rPr>
              <w:t>Monitoring Frequency</w:t>
            </w:r>
          </w:p>
        </w:tc>
        <w:tc>
          <w:tcPr>
            <w:tcW w:w="0" w:type="auto"/>
          </w:tcPr>
          <w:p w:rsidR="00435201" w:rsidRDefault="00435201" w:rsidP="00B7150B">
            <w:r w:rsidRPr="00235F6C">
              <w:rPr>
                <w:rFonts w:ascii="Arial" w:eastAsia="Times New Roman" w:hAnsi="Arial" w:cs="Arial"/>
                <w:b/>
                <w:bCs/>
                <w:color w:val="000000"/>
                <w:sz w:val="20"/>
                <w:szCs w:val="20"/>
              </w:rPr>
              <w:t>Timing of Verification</w:t>
            </w:r>
          </w:p>
        </w:tc>
        <w:tc>
          <w:tcPr>
            <w:tcW w:w="0" w:type="auto"/>
          </w:tcPr>
          <w:p w:rsidR="00435201" w:rsidRDefault="00435201" w:rsidP="00B7150B">
            <w:r w:rsidRPr="00235F6C">
              <w:rPr>
                <w:rFonts w:ascii="Arial" w:eastAsia="Times New Roman" w:hAnsi="Arial" w:cs="Arial"/>
                <w:b/>
                <w:bCs/>
                <w:color w:val="000000"/>
                <w:sz w:val="20"/>
                <w:szCs w:val="20"/>
              </w:rPr>
              <w:t>Method of Verification</w:t>
            </w:r>
          </w:p>
        </w:tc>
        <w:tc>
          <w:tcPr>
            <w:tcW w:w="0" w:type="auto"/>
          </w:tcPr>
          <w:p w:rsidR="00435201" w:rsidRDefault="00435201" w:rsidP="00B7150B">
            <w:r w:rsidRPr="00235F6C">
              <w:rPr>
                <w:rFonts w:ascii="Arial" w:eastAsia="Times New Roman" w:hAnsi="Arial" w:cs="Arial"/>
                <w:b/>
                <w:bCs/>
                <w:color w:val="000000"/>
                <w:sz w:val="20"/>
                <w:szCs w:val="20"/>
              </w:rPr>
              <w:t>Verified Date/Initials</w:t>
            </w:r>
          </w:p>
        </w:tc>
        <w:tc>
          <w:tcPr>
            <w:tcW w:w="0" w:type="auto"/>
          </w:tcPr>
          <w:p w:rsidR="00435201" w:rsidRDefault="00435201" w:rsidP="00B7150B">
            <w:r w:rsidRPr="00235F6C">
              <w:rPr>
                <w:rFonts w:ascii="Arial" w:eastAsia="Times New Roman" w:hAnsi="Arial" w:cs="Arial"/>
                <w:b/>
                <w:bCs/>
                <w:color w:val="000000"/>
                <w:sz w:val="20"/>
                <w:szCs w:val="20"/>
              </w:rPr>
              <w:t>Sanctions for Non-Compliance</w:t>
            </w:r>
          </w:p>
        </w:tc>
      </w:tr>
      <w:tr w:rsidR="00AE138E" w:rsidTr="00B7150B">
        <w:tc>
          <w:tcPr>
            <w:tcW w:w="0" w:type="auto"/>
          </w:tcPr>
          <w:p w:rsidR="00435201" w:rsidRDefault="00B7150B" w:rsidP="00B7150B">
            <w:r w:rsidRPr="00235F6C">
              <w:rPr>
                <w:rFonts w:ascii="Arial" w:eastAsia="Times New Roman" w:hAnsi="Arial" w:cs="Arial"/>
                <w:b/>
                <w:bCs/>
                <w:color w:val="000000"/>
                <w:sz w:val="20"/>
                <w:szCs w:val="20"/>
              </w:rPr>
              <w:t>Traffic/Transportation</w:t>
            </w:r>
          </w:p>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r>
      <w:tr w:rsidR="00AE138E" w:rsidTr="00B7150B">
        <w:tc>
          <w:tcPr>
            <w:tcW w:w="0" w:type="auto"/>
          </w:tcPr>
          <w:p w:rsidR="00435201" w:rsidRPr="00AE138E" w:rsidRDefault="00B7150B" w:rsidP="00F916D5">
            <w:pPr>
              <w:autoSpaceDE w:val="0"/>
              <w:autoSpaceDN w:val="0"/>
              <w:adjustRightInd w:val="0"/>
              <w:jc w:val="both"/>
              <w:rPr>
                <w:rFonts w:ascii="Arial" w:hAnsi="Arial" w:cs="Arial"/>
                <w:sz w:val="20"/>
                <w:szCs w:val="20"/>
              </w:rPr>
            </w:pPr>
            <w:r w:rsidRPr="00AE138E">
              <w:rPr>
                <w:rFonts w:ascii="Arial" w:hAnsi="Arial" w:cs="Arial"/>
                <w:b/>
                <w:bCs/>
                <w:color w:val="000000"/>
                <w:sz w:val="20"/>
                <w:szCs w:val="20"/>
              </w:rPr>
              <w:t xml:space="preserve">TR-1: </w:t>
            </w:r>
            <w:r w:rsidR="00230BAC" w:rsidRPr="00AE138E">
              <w:rPr>
                <w:rFonts w:ascii="Arial" w:hAnsi="Arial" w:cs="Arial"/>
                <w:sz w:val="20"/>
                <w:szCs w:val="20"/>
              </w:rPr>
              <w:t>Prior to the issuance of building permits, the Project applicant shall participate in the City’s DIF and County TUMF fee programs by paying the requisite fees at the time of building permit, and in addition pay the Project’s fair share amount of $43,497 for improvements at the intersections of Indian Street at Cactus Avenue and Indian Street at Gentian Avenue as identified in Table 1</w:t>
            </w:r>
            <w:r w:rsidR="00230BAC" w:rsidRPr="00AE138E">
              <w:rPr>
                <w:rFonts w:ascii="Cambria Math" w:hAnsi="Cambria Math" w:cs="Cambria Math"/>
                <w:sz w:val="20"/>
                <w:szCs w:val="20"/>
              </w:rPr>
              <w:t>‐</w:t>
            </w:r>
            <w:r w:rsidR="00230BAC" w:rsidRPr="00AE138E">
              <w:rPr>
                <w:rFonts w:ascii="Arial" w:hAnsi="Arial" w:cs="Arial"/>
                <w:sz w:val="20"/>
                <w:szCs w:val="20"/>
              </w:rPr>
              <w:t>5 that are consistent with the improvements shown on Table 6</w:t>
            </w:r>
            <w:r w:rsidR="00230BAC" w:rsidRPr="00AE138E">
              <w:rPr>
                <w:rFonts w:ascii="Cambria Math" w:hAnsi="Cambria Math" w:cs="Cambria Math"/>
                <w:sz w:val="20"/>
                <w:szCs w:val="20"/>
              </w:rPr>
              <w:t>‐</w:t>
            </w:r>
            <w:r w:rsidR="00230BAC" w:rsidRPr="00AE138E">
              <w:rPr>
                <w:rFonts w:ascii="Arial" w:hAnsi="Arial" w:cs="Arial"/>
                <w:sz w:val="20"/>
                <w:szCs w:val="20"/>
              </w:rPr>
              <w:t xml:space="preserve">3, or as otherwise agreed to by the City and Project Applicant. Project fair share payment shall only be collected if the City creates a fee program that includes the improvements the fair share contribution is intended to construct. </w:t>
            </w:r>
          </w:p>
        </w:tc>
        <w:tc>
          <w:tcPr>
            <w:tcW w:w="0" w:type="auto"/>
          </w:tcPr>
          <w:p w:rsidR="00435201" w:rsidRDefault="00B7150B" w:rsidP="00A66FC2">
            <w:r w:rsidRPr="00235F6C">
              <w:rPr>
                <w:rFonts w:ascii="Arial" w:eastAsia="Times New Roman" w:hAnsi="Arial" w:cs="Arial"/>
                <w:color w:val="000000"/>
                <w:sz w:val="20"/>
                <w:szCs w:val="20"/>
              </w:rPr>
              <w:t xml:space="preserve">City of Moreno Valley </w:t>
            </w:r>
            <w:r>
              <w:rPr>
                <w:rFonts w:ascii="Arial" w:eastAsia="Times New Roman" w:hAnsi="Arial" w:cs="Arial"/>
                <w:color w:val="000000"/>
                <w:sz w:val="20"/>
                <w:szCs w:val="20"/>
              </w:rPr>
              <w:t>Transportation Engineering Division</w:t>
            </w:r>
            <w:r w:rsidR="00A66FC2">
              <w:rPr>
                <w:rFonts w:ascii="Arial" w:eastAsia="Times New Roman" w:hAnsi="Arial" w:cs="Arial"/>
                <w:color w:val="000000"/>
                <w:sz w:val="20"/>
                <w:szCs w:val="20"/>
              </w:rPr>
              <w:t xml:space="preserve">  a</w:t>
            </w:r>
            <w:r>
              <w:rPr>
                <w:rFonts w:ascii="Arial" w:eastAsia="Times New Roman" w:hAnsi="Arial" w:cs="Arial"/>
                <w:color w:val="000000"/>
                <w:sz w:val="20"/>
                <w:szCs w:val="20"/>
              </w:rPr>
              <w:t xml:space="preserve">nd </w:t>
            </w:r>
            <w:r w:rsidRPr="00235F6C">
              <w:rPr>
                <w:rFonts w:ascii="Arial" w:eastAsia="Times New Roman" w:hAnsi="Arial" w:cs="Arial"/>
                <w:color w:val="000000"/>
                <w:sz w:val="20"/>
                <w:szCs w:val="20"/>
              </w:rPr>
              <w:t>Planning Division</w:t>
            </w:r>
          </w:p>
        </w:tc>
        <w:tc>
          <w:tcPr>
            <w:tcW w:w="0" w:type="auto"/>
          </w:tcPr>
          <w:p w:rsidR="00435201" w:rsidRDefault="00B7150B" w:rsidP="00B7150B">
            <w:r w:rsidRPr="00235F6C">
              <w:rPr>
                <w:rFonts w:ascii="Arial" w:eastAsia="Times New Roman" w:hAnsi="Arial" w:cs="Arial"/>
                <w:color w:val="000000"/>
                <w:sz w:val="20"/>
                <w:szCs w:val="20"/>
              </w:rPr>
              <w:t>Ongoing during construction</w:t>
            </w:r>
          </w:p>
        </w:tc>
        <w:tc>
          <w:tcPr>
            <w:tcW w:w="0" w:type="auto"/>
          </w:tcPr>
          <w:p w:rsidR="00435201" w:rsidRDefault="00B7150B" w:rsidP="00B7150B">
            <w:r w:rsidRPr="00235F6C">
              <w:rPr>
                <w:rFonts w:ascii="Arial" w:eastAsia="Times New Roman" w:hAnsi="Arial" w:cs="Arial"/>
                <w:color w:val="000000"/>
                <w:sz w:val="20"/>
                <w:szCs w:val="20"/>
              </w:rPr>
              <w:t xml:space="preserve">Prior to </w:t>
            </w:r>
            <w:r>
              <w:rPr>
                <w:rFonts w:ascii="Arial" w:eastAsia="Times New Roman" w:hAnsi="Arial" w:cs="Arial"/>
                <w:color w:val="000000"/>
                <w:sz w:val="20"/>
                <w:szCs w:val="20"/>
              </w:rPr>
              <w:t>Building Final</w:t>
            </w:r>
          </w:p>
        </w:tc>
        <w:tc>
          <w:tcPr>
            <w:tcW w:w="0" w:type="auto"/>
          </w:tcPr>
          <w:p w:rsidR="00435201" w:rsidRDefault="00B7150B" w:rsidP="00B7150B">
            <w:r w:rsidRPr="00235F6C">
              <w:rPr>
                <w:rFonts w:ascii="Arial" w:eastAsia="Times New Roman" w:hAnsi="Arial" w:cs="Arial"/>
                <w:color w:val="000000"/>
                <w:sz w:val="20"/>
                <w:szCs w:val="20"/>
              </w:rPr>
              <w:t xml:space="preserve">Review of </w:t>
            </w:r>
            <w:r>
              <w:rPr>
                <w:rFonts w:ascii="Arial" w:eastAsia="Times New Roman" w:hAnsi="Arial" w:cs="Arial"/>
                <w:color w:val="000000"/>
                <w:sz w:val="20"/>
                <w:szCs w:val="20"/>
              </w:rPr>
              <w:t>paid DIF invoice and receipt</w:t>
            </w:r>
          </w:p>
        </w:tc>
        <w:tc>
          <w:tcPr>
            <w:tcW w:w="0" w:type="auto"/>
          </w:tcPr>
          <w:p w:rsidR="00435201" w:rsidRDefault="00435201" w:rsidP="00B7150B"/>
        </w:tc>
        <w:tc>
          <w:tcPr>
            <w:tcW w:w="0" w:type="auto"/>
          </w:tcPr>
          <w:p w:rsidR="00435201" w:rsidRDefault="00B7150B" w:rsidP="00B7150B">
            <w:r w:rsidRPr="00235F6C">
              <w:rPr>
                <w:rFonts w:ascii="Arial" w:eastAsia="Times New Roman" w:hAnsi="Arial" w:cs="Arial"/>
                <w:color w:val="000000"/>
                <w:sz w:val="20"/>
                <w:szCs w:val="20"/>
              </w:rPr>
              <w:t xml:space="preserve">Withhold </w:t>
            </w:r>
            <w:r>
              <w:rPr>
                <w:rFonts w:ascii="Arial" w:eastAsia="Times New Roman" w:hAnsi="Arial" w:cs="Arial"/>
                <w:color w:val="000000"/>
                <w:sz w:val="20"/>
                <w:szCs w:val="20"/>
              </w:rPr>
              <w:t>Building Final</w:t>
            </w:r>
          </w:p>
        </w:tc>
      </w:tr>
      <w:tr w:rsidR="00AE138E" w:rsidTr="00B7150B">
        <w:tc>
          <w:tcPr>
            <w:tcW w:w="0" w:type="auto"/>
          </w:tcPr>
          <w:p w:rsidR="00435201" w:rsidRPr="00AE138E" w:rsidRDefault="00AE138E" w:rsidP="00A66FC2">
            <w:pPr>
              <w:jc w:val="both"/>
              <w:rPr>
                <w:rFonts w:ascii="Arial" w:eastAsia="Times New Roman" w:hAnsi="Arial" w:cs="Arial"/>
                <w:sz w:val="20"/>
                <w:szCs w:val="20"/>
              </w:rPr>
            </w:pPr>
            <w:r w:rsidRPr="00AE138E">
              <w:rPr>
                <w:rFonts w:ascii="Arial" w:eastAsia="Times New Roman" w:hAnsi="Arial" w:cs="Arial"/>
                <w:b/>
                <w:bCs/>
                <w:color w:val="000000"/>
                <w:sz w:val="20"/>
                <w:szCs w:val="20"/>
              </w:rPr>
              <w:t>TR-2:</w:t>
            </w:r>
            <w:r w:rsidRPr="00AE138E">
              <w:rPr>
                <w:rFonts w:ascii="Arial" w:eastAsia="Times New Roman" w:hAnsi="Arial" w:cs="Arial"/>
                <w:bCs/>
                <w:color w:val="000000"/>
                <w:sz w:val="20"/>
                <w:szCs w:val="20"/>
              </w:rPr>
              <w:t xml:space="preserve"> </w:t>
            </w:r>
            <w:r w:rsidRPr="00AE138E">
              <w:rPr>
                <w:rFonts w:ascii="Arial" w:eastAsia="Times New Roman" w:hAnsi="Arial" w:cs="Arial"/>
                <w:snapToGrid w:val="0"/>
                <w:sz w:val="20"/>
                <w:szCs w:val="20"/>
              </w:rPr>
              <w:t xml:space="preserve">Prior to the final approval of the street improvement plans, traffic signal plans will be required for a new traffic signal located at the intersection of Perris Boulevard and Santiago Drive.  </w:t>
            </w:r>
            <w:r w:rsidRPr="00AE138E">
              <w:rPr>
                <w:rFonts w:ascii="Arial" w:eastAsia="Times New Roman" w:hAnsi="Arial" w:cs="Arial"/>
                <w:sz w:val="20"/>
                <w:szCs w:val="20"/>
              </w:rPr>
              <w:t>Prior to issuance of Certificate of Occupancy, the traffic signal and Perris Boulevard and Santiago Drive shall be completed per the approved plans to the satisfaction of the City Engineer.</w:t>
            </w:r>
          </w:p>
        </w:tc>
        <w:tc>
          <w:tcPr>
            <w:tcW w:w="0" w:type="auto"/>
          </w:tcPr>
          <w:p w:rsidR="00435201" w:rsidRDefault="00B7150B" w:rsidP="00A66FC2">
            <w:r w:rsidRPr="00235F6C">
              <w:rPr>
                <w:rFonts w:ascii="Arial" w:eastAsia="Times New Roman" w:hAnsi="Arial" w:cs="Arial"/>
                <w:color w:val="000000"/>
                <w:sz w:val="20"/>
                <w:szCs w:val="20"/>
              </w:rPr>
              <w:t xml:space="preserve">City of Moreno Valley </w:t>
            </w:r>
            <w:r>
              <w:rPr>
                <w:rFonts w:ascii="Arial" w:eastAsia="Times New Roman" w:hAnsi="Arial" w:cs="Arial"/>
                <w:color w:val="000000"/>
                <w:sz w:val="20"/>
                <w:szCs w:val="20"/>
              </w:rPr>
              <w:t>Transportation Engineering Division</w:t>
            </w:r>
            <w:r w:rsidR="00A66FC2">
              <w:rPr>
                <w:rFonts w:ascii="Arial" w:eastAsia="Times New Roman" w:hAnsi="Arial" w:cs="Arial"/>
                <w:color w:val="000000"/>
                <w:sz w:val="20"/>
                <w:szCs w:val="20"/>
              </w:rPr>
              <w:t xml:space="preserve"> </w:t>
            </w:r>
            <w:r w:rsidR="00AE138E">
              <w:rPr>
                <w:rFonts w:ascii="Arial" w:eastAsia="Times New Roman" w:hAnsi="Arial" w:cs="Arial"/>
                <w:color w:val="000000"/>
                <w:sz w:val="20"/>
                <w:szCs w:val="20"/>
              </w:rPr>
              <w:t xml:space="preserve">, Land Development </w:t>
            </w:r>
            <w:r>
              <w:rPr>
                <w:rFonts w:ascii="Arial" w:eastAsia="Times New Roman" w:hAnsi="Arial" w:cs="Arial"/>
                <w:color w:val="000000"/>
                <w:sz w:val="20"/>
                <w:szCs w:val="20"/>
              </w:rPr>
              <w:t xml:space="preserve">and </w:t>
            </w:r>
            <w:r w:rsidRPr="00235F6C">
              <w:rPr>
                <w:rFonts w:ascii="Arial" w:eastAsia="Times New Roman" w:hAnsi="Arial" w:cs="Arial"/>
                <w:color w:val="000000"/>
                <w:sz w:val="20"/>
                <w:szCs w:val="20"/>
              </w:rPr>
              <w:t>Planning Division</w:t>
            </w:r>
          </w:p>
        </w:tc>
        <w:tc>
          <w:tcPr>
            <w:tcW w:w="0" w:type="auto"/>
          </w:tcPr>
          <w:p w:rsidR="00435201" w:rsidRDefault="00B7150B" w:rsidP="00B7150B">
            <w:r w:rsidRPr="00235F6C">
              <w:rPr>
                <w:rFonts w:ascii="Arial" w:eastAsia="Times New Roman" w:hAnsi="Arial" w:cs="Arial"/>
                <w:color w:val="000000"/>
                <w:sz w:val="20"/>
                <w:szCs w:val="20"/>
              </w:rPr>
              <w:t>Ongoing during construction</w:t>
            </w:r>
          </w:p>
        </w:tc>
        <w:tc>
          <w:tcPr>
            <w:tcW w:w="0" w:type="auto"/>
          </w:tcPr>
          <w:p w:rsidR="00435201" w:rsidRDefault="00B7150B" w:rsidP="00B7150B">
            <w:r w:rsidRPr="00235F6C">
              <w:rPr>
                <w:rFonts w:ascii="Arial" w:eastAsia="Times New Roman" w:hAnsi="Arial" w:cs="Arial"/>
                <w:color w:val="000000"/>
                <w:sz w:val="20"/>
                <w:szCs w:val="20"/>
              </w:rPr>
              <w:t xml:space="preserve">Prior to </w:t>
            </w:r>
            <w:r>
              <w:rPr>
                <w:rFonts w:ascii="Arial" w:eastAsia="Times New Roman" w:hAnsi="Arial" w:cs="Arial"/>
                <w:color w:val="000000"/>
                <w:sz w:val="20"/>
                <w:szCs w:val="20"/>
              </w:rPr>
              <w:t>Building Final</w:t>
            </w:r>
          </w:p>
        </w:tc>
        <w:tc>
          <w:tcPr>
            <w:tcW w:w="0" w:type="auto"/>
          </w:tcPr>
          <w:p w:rsidR="00435201" w:rsidRDefault="00AE138E" w:rsidP="00B7150B">
            <w:r>
              <w:rPr>
                <w:rFonts w:ascii="Arial" w:eastAsia="Times New Roman" w:hAnsi="Arial" w:cs="Arial"/>
                <w:color w:val="000000"/>
                <w:sz w:val="20"/>
                <w:szCs w:val="20"/>
              </w:rPr>
              <w:t>Final Inspection of signal improvements</w:t>
            </w:r>
          </w:p>
        </w:tc>
        <w:tc>
          <w:tcPr>
            <w:tcW w:w="0" w:type="auto"/>
          </w:tcPr>
          <w:p w:rsidR="00435201" w:rsidRDefault="00435201" w:rsidP="00B7150B"/>
        </w:tc>
        <w:tc>
          <w:tcPr>
            <w:tcW w:w="0" w:type="auto"/>
          </w:tcPr>
          <w:p w:rsidR="00435201" w:rsidRDefault="00B7150B" w:rsidP="00B7150B">
            <w:r w:rsidRPr="00235F6C">
              <w:rPr>
                <w:rFonts w:ascii="Arial" w:eastAsia="Times New Roman" w:hAnsi="Arial" w:cs="Arial"/>
                <w:color w:val="000000"/>
                <w:sz w:val="20"/>
                <w:szCs w:val="20"/>
              </w:rPr>
              <w:t xml:space="preserve">Withhold </w:t>
            </w:r>
            <w:r>
              <w:rPr>
                <w:rFonts w:ascii="Arial" w:eastAsia="Times New Roman" w:hAnsi="Arial" w:cs="Arial"/>
                <w:color w:val="000000"/>
                <w:sz w:val="20"/>
                <w:szCs w:val="20"/>
              </w:rPr>
              <w:t>Building Final</w:t>
            </w:r>
          </w:p>
        </w:tc>
      </w:tr>
    </w:tbl>
    <w:p w:rsidR="00863482" w:rsidRPr="00235F6C" w:rsidRDefault="00863482" w:rsidP="00863482">
      <w:pPr>
        <w:spacing w:before="100" w:beforeAutospacing="1" w:after="100" w:afterAutospacing="1" w:line="240" w:lineRule="auto"/>
        <w:jc w:val="both"/>
        <w:rPr>
          <w:rFonts w:ascii="Arial" w:eastAsia="Times New Roman"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4154"/>
        <w:gridCol w:w="1850"/>
        <w:gridCol w:w="1871"/>
        <w:gridCol w:w="1306"/>
        <w:gridCol w:w="1306"/>
        <w:gridCol w:w="1339"/>
        <w:gridCol w:w="1350"/>
      </w:tblGrid>
      <w:tr w:rsidR="00F916D5" w:rsidTr="00F916D5">
        <w:tc>
          <w:tcPr>
            <w:tcW w:w="3046" w:type="dxa"/>
          </w:tcPr>
          <w:p w:rsidR="00B7150B" w:rsidRDefault="00B7150B" w:rsidP="00F916D5">
            <w:r>
              <w:rPr>
                <w:rFonts w:ascii="Arial" w:eastAsia="Times New Roman" w:hAnsi="Arial" w:cs="Arial"/>
                <w:b/>
                <w:bCs/>
                <w:color w:val="000000"/>
                <w:sz w:val="20"/>
                <w:szCs w:val="20"/>
              </w:rPr>
              <w:lastRenderedPageBreak/>
              <w:t>Mitigation Measure No.</w:t>
            </w:r>
          </w:p>
        </w:tc>
        <w:tc>
          <w:tcPr>
            <w:tcW w:w="1414" w:type="dxa"/>
          </w:tcPr>
          <w:p w:rsidR="00B7150B" w:rsidRDefault="00B7150B" w:rsidP="00F916D5">
            <w:r w:rsidRPr="00235F6C">
              <w:rPr>
                <w:rFonts w:ascii="Arial" w:eastAsia="Times New Roman" w:hAnsi="Arial" w:cs="Arial"/>
                <w:b/>
                <w:bCs/>
                <w:color w:val="000000"/>
                <w:sz w:val="20"/>
                <w:szCs w:val="20"/>
              </w:rPr>
              <w:t>Responsible for Monitoring</w:t>
            </w:r>
          </w:p>
        </w:tc>
        <w:tc>
          <w:tcPr>
            <w:tcW w:w="0" w:type="auto"/>
          </w:tcPr>
          <w:p w:rsidR="00B7150B" w:rsidRDefault="00B7150B" w:rsidP="00F916D5">
            <w:r w:rsidRPr="00235F6C">
              <w:rPr>
                <w:rFonts w:ascii="Arial" w:eastAsia="Times New Roman" w:hAnsi="Arial" w:cs="Arial"/>
                <w:b/>
                <w:bCs/>
                <w:color w:val="000000"/>
                <w:sz w:val="20"/>
                <w:szCs w:val="20"/>
              </w:rPr>
              <w:t>Monitoring Frequency</w:t>
            </w:r>
          </w:p>
        </w:tc>
        <w:tc>
          <w:tcPr>
            <w:tcW w:w="0" w:type="auto"/>
          </w:tcPr>
          <w:p w:rsidR="00B7150B" w:rsidRDefault="00B7150B" w:rsidP="00F916D5">
            <w:r w:rsidRPr="00235F6C">
              <w:rPr>
                <w:rFonts w:ascii="Arial" w:eastAsia="Times New Roman" w:hAnsi="Arial" w:cs="Arial"/>
                <w:b/>
                <w:bCs/>
                <w:color w:val="000000"/>
                <w:sz w:val="20"/>
                <w:szCs w:val="20"/>
              </w:rPr>
              <w:t>Timing of Verification</w:t>
            </w:r>
          </w:p>
        </w:tc>
        <w:tc>
          <w:tcPr>
            <w:tcW w:w="0" w:type="auto"/>
          </w:tcPr>
          <w:p w:rsidR="00B7150B" w:rsidRDefault="00B7150B" w:rsidP="00F916D5">
            <w:r w:rsidRPr="00235F6C">
              <w:rPr>
                <w:rFonts w:ascii="Arial" w:eastAsia="Times New Roman" w:hAnsi="Arial" w:cs="Arial"/>
                <w:b/>
                <w:bCs/>
                <w:color w:val="000000"/>
                <w:sz w:val="20"/>
                <w:szCs w:val="20"/>
              </w:rPr>
              <w:t>Method of Verification</w:t>
            </w:r>
          </w:p>
        </w:tc>
        <w:tc>
          <w:tcPr>
            <w:tcW w:w="0" w:type="auto"/>
          </w:tcPr>
          <w:p w:rsidR="00B7150B" w:rsidRDefault="00B7150B" w:rsidP="00F916D5">
            <w:r w:rsidRPr="00235F6C">
              <w:rPr>
                <w:rFonts w:ascii="Arial" w:eastAsia="Times New Roman" w:hAnsi="Arial" w:cs="Arial"/>
                <w:b/>
                <w:bCs/>
                <w:color w:val="000000"/>
                <w:sz w:val="20"/>
                <w:szCs w:val="20"/>
              </w:rPr>
              <w:t>Verified Date/Initials</w:t>
            </w:r>
          </w:p>
        </w:tc>
        <w:tc>
          <w:tcPr>
            <w:tcW w:w="0" w:type="auto"/>
          </w:tcPr>
          <w:p w:rsidR="00B7150B" w:rsidRDefault="00B7150B" w:rsidP="00F916D5">
            <w:r w:rsidRPr="00235F6C">
              <w:rPr>
                <w:rFonts w:ascii="Arial" w:eastAsia="Times New Roman" w:hAnsi="Arial" w:cs="Arial"/>
                <w:b/>
                <w:bCs/>
                <w:color w:val="000000"/>
                <w:sz w:val="20"/>
                <w:szCs w:val="20"/>
              </w:rPr>
              <w:t>Sanctions for Non-Compliance</w:t>
            </w:r>
          </w:p>
        </w:tc>
      </w:tr>
      <w:tr w:rsidR="00F916D5" w:rsidTr="00F916D5">
        <w:tc>
          <w:tcPr>
            <w:tcW w:w="3046" w:type="dxa"/>
          </w:tcPr>
          <w:p w:rsidR="00B7150B" w:rsidRPr="00A66FC2" w:rsidRDefault="00A66FC2" w:rsidP="00F916D5">
            <w:pPr>
              <w:rPr>
                <w:rFonts w:ascii="Arial" w:hAnsi="Arial" w:cs="Arial"/>
                <w:b/>
                <w:sz w:val="20"/>
                <w:szCs w:val="20"/>
              </w:rPr>
            </w:pPr>
            <w:r w:rsidRPr="00A66FC2">
              <w:rPr>
                <w:rFonts w:ascii="Arial" w:hAnsi="Arial" w:cs="Arial"/>
                <w:b/>
                <w:sz w:val="20"/>
                <w:szCs w:val="20"/>
              </w:rPr>
              <w:t>Biological Resources</w:t>
            </w:r>
          </w:p>
        </w:tc>
        <w:tc>
          <w:tcPr>
            <w:tcW w:w="1414" w:type="dxa"/>
          </w:tcPr>
          <w:p w:rsidR="00B7150B" w:rsidRDefault="00B7150B" w:rsidP="00F916D5"/>
        </w:tc>
        <w:tc>
          <w:tcPr>
            <w:tcW w:w="0" w:type="auto"/>
          </w:tcPr>
          <w:p w:rsidR="00B7150B" w:rsidRDefault="00B7150B" w:rsidP="00F916D5"/>
        </w:tc>
        <w:tc>
          <w:tcPr>
            <w:tcW w:w="0" w:type="auto"/>
          </w:tcPr>
          <w:p w:rsidR="00B7150B" w:rsidRDefault="00B7150B" w:rsidP="00F916D5"/>
        </w:tc>
        <w:tc>
          <w:tcPr>
            <w:tcW w:w="0" w:type="auto"/>
          </w:tcPr>
          <w:p w:rsidR="00B7150B" w:rsidRDefault="00B7150B" w:rsidP="00F916D5"/>
        </w:tc>
        <w:tc>
          <w:tcPr>
            <w:tcW w:w="0" w:type="auto"/>
          </w:tcPr>
          <w:p w:rsidR="00B7150B" w:rsidRDefault="00B7150B" w:rsidP="00F916D5"/>
        </w:tc>
        <w:tc>
          <w:tcPr>
            <w:tcW w:w="0" w:type="auto"/>
          </w:tcPr>
          <w:p w:rsidR="00B7150B" w:rsidRDefault="00B7150B" w:rsidP="00F916D5"/>
        </w:tc>
      </w:tr>
      <w:tr w:rsidR="00F916D5" w:rsidTr="00F916D5">
        <w:tc>
          <w:tcPr>
            <w:tcW w:w="3046" w:type="dxa"/>
          </w:tcPr>
          <w:p w:rsidR="00B7150B" w:rsidRPr="00AE138E" w:rsidRDefault="00AE138E" w:rsidP="00F916D5">
            <w:pPr>
              <w:autoSpaceDE w:val="0"/>
              <w:autoSpaceDN w:val="0"/>
              <w:adjustRightInd w:val="0"/>
              <w:jc w:val="both"/>
              <w:rPr>
                <w:rFonts w:ascii="Arial" w:eastAsia="Times New Roman" w:hAnsi="Arial" w:cs="Arial"/>
                <w:sz w:val="20"/>
                <w:szCs w:val="20"/>
              </w:rPr>
            </w:pPr>
            <w:r w:rsidRPr="00AE138E">
              <w:rPr>
                <w:rFonts w:ascii="Arial" w:eastAsia="Times New Roman" w:hAnsi="Arial" w:cs="Arial"/>
                <w:b/>
                <w:sz w:val="20"/>
                <w:szCs w:val="20"/>
              </w:rPr>
              <w:t>BR</w:t>
            </w:r>
            <w:r w:rsidR="00F916D5">
              <w:rPr>
                <w:rFonts w:ascii="Arial" w:eastAsia="Times New Roman" w:hAnsi="Arial" w:cs="Arial"/>
                <w:b/>
                <w:sz w:val="20"/>
                <w:szCs w:val="20"/>
              </w:rPr>
              <w:t>-</w:t>
            </w:r>
            <w:r w:rsidRPr="00AE138E">
              <w:rPr>
                <w:rFonts w:ascii="Arial" w:eastAsia="Times New Roman" w:hAnsi="Arial" w:cs="Arial"/>
                <w:b/>
                <w:sz w:val="20"/>
                <w:szCs w:val="20"/>
              </w:rPr>
              <w:t>1.</w:t>
            </w:r>
            <w:r w:rsidRPr="00AE138E">
              <w:rPr>
                <w:rFonts w:ascii="Arial" w:eastAsia="Times New Roman" w:hAnsi="Arial" w:cs="Arial"/>
                <w:sz w:val="20"/>
                <w:szCs w:val="20"/>
              </w:rPr>
              <w:t xml:space="preserve">  A qualified biologist will conduct a pre-construction presence/absence survey for burrowing owls within 14 days prior to site disturbance. If burrowing owls are detected onsite, the owls will be relocated/excluded from the site outside of the breeding season following accepted protocols, and subject to the approval of the RCA and wildlife agencies.</w:t>
            </w:r>
          </w:p>
        </w:tc>
        <w:tc>
          <w:tcPr>
            <w:tcW w:w="1414" w:type="dxa"/>
          </w:tcPr>
          <w:p w:rsidR="00B7150B" w:rsidRDefault="00B7150B" w:rsidP="00F916D5">
            <w:r w:rsidRPr="00235F6C">
              <w:rPr>
                <w:rFonts w:ascii="Arial" w:eastAsia="Times New Roman" w:hAnsi="Arial" w:cs="Arial"/>
                <w:color w:val="000000"/>
                <w:sz w:val="20"/>
                <w:szCs w:val="20"/>
              </w:rPr>
              <w:t>City of Moreno Valley Planning Division</w:t>
            </w:r>
          </w:p>
        </w:tc>
        <w:tc>
          <w:tcPr>
            <w:tcW w:w="0" w:type="auto"/>
          </w:tcPr>
          <w:p w:rsidR="00B7150B" w:rsidRDefault="00A66FC2" w:rsidP="00F916D5">
            <w:r>
              <w:rPr>
                <w:rFonts w:ascii="Arial" w:eastAsia="Times New Roman" w:hAnsi="Arial" w:cs="Arial"/>
                <w:color w:val="000000"/>
                <w:sz w:val="20"/>
                <w:szCs w:val="20"/>
              </w:rPr>
              <w:t>Ongoing during grading plan check</w:t>
            </w:r>
          </w:p>
        </w:tc>
        <w:tc>
          <w:tcPr>
            <w:tcW w:w="0" w:type="auto"/>
          </w:tcPr>
          <w:p w:rsidR="00B7150B" w:rsidRDefault="00B7150B" w:rsidP="00F916D5">
            <w:r w:rsidRPr="00235F6C">
              <w:rPr>
                <w:rFonts w:ascii="Arial" w:eastAsia="Times New Roman" w:hAnsi="Arial" w:cs="Arial"/>
                <w:color w:val="000000"/>
                <w:sz w:val="20"/>
                <w:szCs w:val="20"/>
              </w:rPr>
              <w:t xml:space="preserve">Prior to </w:t>
            </w:r>
            <w:r w:rsidR="00A66FC2">
              <w:rPr>
                <w:rFonts w:ascii="Arial" w:eastAsia="Times New Roman" w:hAnsi="Arial" w:cs="Arial"/>
                <w:color w:val="000000"/>
                <w:sz w:val="20"/>
                <w:szCs w:val="20"/>
              </w:rPr>
              <w:t>Issuance of a grading permit</w:t>
            </w:r>
          </w:p>
        </w:tc>
        <w:tc>
          <w:tcPr>
            <w:tcW w:w="0" w:type="auto"/>
          </w:tcPr>
          <w:p w:rsidR="00B7150B" w:rsidRDefault="00B7150B" w:rsidP="00F916D5">
            <w:r w:rsidRPr="00235F6C">
              <w:rPr>
                <w:rFonts w:ascii="Arial" w:eastAsia="Times New Roman" w:hAnsi="Arial" w:cs="Arial"/>
                <w:color w:val="000000"/>
                <w:sz w:val="20"/>
                <w:szCs w:val="20"/>
              </w:rPr>
              <w:t xml:space="preserve">Review of </w:t>
            </w:r>
            <w:r w:rsidR="00A66FC2">
              <w:rPr>
                <w:rFonts w:ascii="Arial" w:eastAsia="Times New Roman" w:hAnsi="Arial" w:cs="Arial"/>
                <w:color w:val="000000"/>
                <w:sz w:val="20"/>
                <w:szCs w:val="20"/>
              </w:rPr>
              <w:t>and approval of pre-construction survey</w:t>
            </w:r>
          </w:p>
        </w:tc>
        <w:tc>
          <w:tcPr>
            <w:tcW w:w="0" w:type="auto"/>
          </w:tcPr>
          <w:p w:rsidR="00B7150B" w:rsidRDefault="00B7150B" w:rsidP="00F916D5"/>
        </w:tc>
        <w:tc>
          <w:tcPr>
            <w:tcW w:w="0" w:type="auto"/>
          </w:tcPr>
          <w:p w:rsidR="00B7150B" w:rsidRDefault="00B7150B" w:rsidP="00F916D5">
            <w:r w:rsidRPr="00235F6C">
              <w:rPr>
                <w:rFonts w:ascii="Arial" w:eastAsia="Times New Roman" w:hAnsi="Arial" w:cs="Arial"/>
                <w:color w:val="000000"/>
                <w:sz w:val="20"/>
                <w:szCs w:val="20"/>
              </w:rPr>
              <w:t xml:space="preserve">Withhold </w:t>
            </w:r>
            <w:r w:rsidR="00A66FC2">
              <w:rPr>
                <w:rFonts w:ascii="Arial" w:eastAsia="Times New Roman" w:hAnsi="Arial" w:cs="Arial"/>
                <w:color w:val="000000"/>
                <w:sz w:val="20"/>
                <w:szCs w:val="20"/>
              </w:rPr>
              <w:t>Grading Permit</w:t>
            </w:r>
          </w:p>
        </w:tc>
      </w:tr>
      <w:tr w:rsidR="00AE138E" w:rsidTr="00F916D5">
        <w:tc>
          <w:tcPr>
            <w:tcW w:w="3046" w:type="dxa"/>
          </w:tcPr>
          <w:p w:rsidR="00AE138E" w:rsidRPr="00AE138E" w:rsidRDefault="00AE138E" w:rsidP="00F916D5">
            <w:pPr>
              <w:autoSpaceDE w:val="0"/>
              <w:autoSpaceDN w:val="0"/>
              <w:adjustRightInd w:val="0"/>
              <w:jc w:val="both"/>
              <w:rPr>
                <w:rFonts w:ascii="Arial" w:eastAsia="Times New Roman" w:hAnsi="Arial" w:cs="Arial"/>
                <w:sz w:val="20"/>
                <w:szCs w:val="20"/>
              </w:rPr>
            </w:pPr>
            <w:r w:rsidRPr="00AE138E">
              <w:rPr>
                <w:rFonts w:ascii="Arial" w:eastAsia="Times New Roman" w:hAnsi="Arial" w:cs="Arial"/>
                <w:b/>
                <w:sz w:val="20"/>
                <w:szCs w:val="20"/>
              </w:rPr>
              <w:t>BR</w:t>
            </w:r>
            <w:r w:rsidR="00F916D5">
              <w:rPr>
                <w:rFonts w:ascii="Arial" w:eastAsia="Times New Roman" w:hAnsi="Arial" w:cs="Arial"/>
                <w:b/>
                <w:sz w:val="20"/>
                <w:szCs w:val="20"/>
              </w:rPr>
              <w:t>-</w:t>
            </w:r>
            <w:r w:rsidRPr="00AE138E">
              <w:rPr>
                <w:rFonts w:ascii="Arial" w:eastAsia="Times New Roman" w:hAnsi="Arial" w:cs="Arial"/>
                <w:b/>
                <w:sz w:val="20"/>
                <w:szCs w:val="20"/>
              </w:rPr>
              <w:t>2.</w:t>
            </w:r>
            <w:r w:rsidRPr="00AE138E">
              <w:rPr>
                <w:rFonts w:ascii="Arial" w:eastAsia="Times New Roman" w:hAnsi="Arial" w:cs="Arial"/>
                <w:sz w:val="20"/>
                <w:szCs w:val="20"/>
              </w:rPr>
              <w:t xml:space="preserve">  As feasible, vegetation clearing should be conducted outside of the nesting season, which is generally identified as February 1 through September 15. If avoidance of the nesting season is not feasible, then a qualified biologist shall conduct a nesting bird survey within three days prior to any disturbance of the site, including disking, demolition activities, and grading. If active nests are identified, the biologist shall establish suitable buffers around the nests, and the buffer areas shall be avoided until the nests are no longer occupied and the juvenile birds can survive independently from the nests.</w:t>
            </w:r>
          </w:p>
        </w:tc>
        <w:tc>
          <w:tcPr>
            <w:tcW w:w="1414" w:type="dxa"/>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City of Moreno Valley Planning Division</w:t>
            </w:r>
          </w:p>
        </w:tc>
        <w:tc>
          <w:tcPr>
            <w:tcW w:w="0" w:type="auto"/>
          </w:tcPr>
          <w:p w:rsidR="00AE138E" w:rsidRDefault="00AE138E" w:rsidP="00F916D5">
            <w:pPr>
              <w:rPr>
                <w:rFonts w:ascii="Arial" w:eastAsia="Times New Roman" w:hAnsi="Arial" w:cs="Arial"/>
                <w:color w:val="000000"/>
                <w:sz w:val="20"/>
                <w:szCs w:val="20"/>
              </w:rPr>
            </w:pPr>
            <w:r>
              <w:rPr>
                <w:rFonts w:ascii="Arial" w:eastAsia="Times New Roman" w:hAnsi="Arial" w:cs="Arial"/>
                <w:color w:val="000000"/>
                <w:sz w:val="20"/>
                <w:szCs w:val="20"/>
              </w:rPr>
              <w:t>Ongoing during grading plan check</w:t>
            </w:r>
          </w:p>
        </w:tc>
        <w:tc>
          <w:tcPr>
            <w:tcW w:w="0" w:type="auto"/>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 xml:space="preserve">Prior to </w:t>
            </w:r>
            <w:r>
              <w:rPr>
                <w:rFonts w:ascii="Arial" w:eastAsia="Times New Roman" w:hAnsi="Arial" w:cs="Arial"/>
                <w:color w:val="000000"/>
                <w:sz w:val="20"/>
                <w:szCs w:val="20"/>
              </w:rPr>
              <w:t>Issuance of a grading permit</w:t>
            </w:r>
          </w:p>
        </w:tc>
        <w:tc>
          <w:tcPr>
            <w:tcW w:w="0" w:type="auto"/>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 xml:space="preserve">Review of </w:t>
            </w:r>
            <w:r>
              <w:rPr>
                <w:rFonts w:ascii="Arial" w:eastAsia="Times New Roman" w:hAnsi="Arial" w:cs="Arial"/>
                <w:color w:val="000000"/>
                <w:sz w:val="20"/>
                <w:szCs w:val="20"/>
              </w:rPr>
              <w:t>and</w:t>
            </w:r>
            <w:r>
              <w:rPr>
                <w:rFonts w:ascii="Arial" w:eastAsia="Times New Roman" w:hAnsi="Arial" w:cs="Arial"/>
                <w:color w:val="000000"/>
                <w:sz w:val="20"/>
                <w:szCs w:val="20"/>
              </w:rPr>
              <w:t xml:space="preserve"> </w:t>
            </w:r>
            <w:r>
              <w:rPr>
                <w:rFonts w:ascii="Arial" w:eastAsia="Times New Roman" w:hAnsi="Arial" w:cs="Arial"/>
                <w:color w:val="000000"/>
                <w:sz w:val="20"/>
                <w:szCs w:val="20"/>
              </w:rPr>
              <w:t>approval of survey</w:t>
            </w:r>
          </w:p>
        </w:tc>
        <w:tc>
          <w:tcPr>
            <w:tcW w:w="0" w:type="auto"/>
          </w:tcPr>
          <w:p w:rsidR="00AE138E" w:rsidRDefault="00AE138E" w:rsidP="00F916D5"/>
        </w:tc>
        <w:tc>
          <w:tcPr>
            <w:tcW w:w="0" w:type="auto"/>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 xml:space="preserve">Withhold </w:t>
            </w:r>
            <w:r>
              <w:rPr>
                <w:rFonts w:ascii="Arial" w:eastAsia="Times New Roman" w:hAnsi="Arial" w:cs="Arial"/>
                <w:color w:val="000000"/>
                <w:sz w:val="20"/>
                <w:szCs w:val="20"/>
              </w:rPr>
              <w:t>Grading Permit</w:t>
            </w:r>
          </w:p>
        </w:tc>
      </w:tr>
      <w:tr w:rsidR="00F916D5" w:rsidTr="00F916D5">
        <w:tc>
          <w:tcPr>
            <w:tcW w:w="3046" w:type="dxa"/>
          </w:tcPr>
          <w:p w:rsidR="00863482" w:rsidRDefault="00863482" w:rsidP="00F916D5">
            <w:r>
              <w:rPr>
                <w:rFonts w:ascii="Arial" w:eastAsia="Times New Roman" w:hAnsi="Arial" w:cs="Arial"/>
                <w:b/>
                <w:bCs/>
                <w:color w:val="000000"/>
                <w:sz w:val="20"/>
                <w:szCs w:val="20"/>
              </w:rPr>
              <w:t>Mitigation Measure No.</w:t>
            </w:r>
          </w:p>
        </w:tc>
        <w:tc>
          <w:tcPr>
            <w:tcW w:w="1414" w:type="dxa"/>
          </w:tcPr>
          <w:p w:rsidR="00863482" w:rsidRDefault="00863482" w:rsidP="00F916D5">
            <w:r w:rsidRPr="00235F6C">
              <w:rPr>
                <w:rFonts w:ascii="Arial" w:eastAsia="Times New Roman" w:hAnsi="Arial" w:cs="Arial"/>
                <w:b/>
                <w:bCs/>
                <w:color w:val="000000"/>
                <w:sz w:val="20"/>
                <w:szCs w:val="20"/>
              </w:rPr>
              <w:t>Responsible for Monitoring</w:t>
            </w:r>
          </w:p>
        </w:tc>
        <w:tc>
          <w:tcPr>
            <w:tcW w:w="1653" w:type="dxa"/>
          </w:tcPr>
          <w:p w:rsidR="00863482" w:rsidRDefault="00863482" w:rsidP="00F916D5">
            <w:r w:rsidRPr="00235F6C">
              <w:rPr>
                <w:rFonts w:ascii="Arial" w:eastAsia="Times New Roman" w:hAnsi="Arial" w:cs="Arial"/>
                <w:b/>
                <w:bCs/>
                <w:color w:val="000000"/>
                <w:sz w:val="20"/>
                <w:szCs w:val="20"/>
              </w:rPr>
              <w:t>Monitoring Frequency</w:t>
            </w:r>
          </w:p>
        </w:tc>
        <w:tc>
          <w:tcPr>
            <w:tcW w:w="0" w:type="auto"/>
          </w:tcPr>
          <w:p w:rsidR="00863482" w:rsidRDefault="00863482" w:rsidP="00F916D5">
            <w:r w:rsidRPr="00235F6C">
              <w:rPr>
                <w:rFonts w:ascii="Arial" w:eastAsia="Times New Roman" w:hAnsi="Arial" w:cs="Arial"/>
                <w:b/>
                <w:bCs/>
                <w:color w:val="000000"/>
                <w:sz w:val="20"/>
                <w:szCs w:val="20"/>
              </w:rPr>
              <w:t>Timing of Verification</w:t>
            </w:r>
          </w:p>
        </w:tc>
        <w:tc>
          <w:tcPr>
            <w:tcW w:w="0" w:type="auto"/>
          </w:tcPr>
          <w:p w:rsidR="00863482" w:rsidRDefault="00863482" w:rsidP="00F916D5">
            <w:r w:rsidRPr="00235F6C">
              <w:rPr>
                <w:rFonts w:ascii="Arial" w:eastAsia="Times New Roman" w:hAnsi="Arial" w:cs="Arial"/>
                <w:b/>
                <w:bCs/>
                <w:color w:val="000000"/>
                <w:sz w:val="20"/>
                <w:szCs w:val="20"/>
              </w:rPr>
              <w:t>Method of Verification</w:t>
            </w:r>
          </w:p>
        </w:tc>
        <w:tc>
          <w:tcPr>
            <w:tcW w:w="0" w:type="auto"/>
          </w:tcPr>
          <w:p w:rsidR="00863482" w:rsidRDefault="00863482" w:rsidP="00F916D5">
            <w:r w:rsidRPr="00235F6C">
              <w:rPr>
                <w:rFonts w:ascii="Arial" w:eastAsia="Times New Roman" w:hAnsi="Arial" w:cs="Arial"/>
                <w:b/>
                <w:bCs/>
                <w:color w:val="000000"/>
                <w:sz w:val="20"/>
                <w:szCs w:val="20"/>
              </w:rPr>
              <w:t>Verified Date/Initials</w:t>
            </w:r>
          </w:p>
        </w:tc>
        <w:tc>
          <w:tcPr>
            <w:tcW w:w="0" w:type="auto"/>
          </w:tcPr>
          <w:p w:rsidR="00863482" w:rsidRDefault="00863482" w:rsidP="00F916D5">
            <w:r w:rsidRPr="00235F6C">
              <w:rPr>
                <w:rFonts w:ascii="Arial" w:eastAsia="Times New Roman" w:hAnsi="Arial" w:cs="Arial"/>
                <w:b/>
                <w:bCs/>
                <w:color w:val="000000"/>
                <w:sz w:val="20"/>
                <w:szCs w:val="20"/>
              </w:rPr>
              <w:t>Sanctions for Non-Compliance</w:t>
            </w:r>
          </w:p>
        </w:tc>
      </w:tr>
      <w:tr w:rsidR="00F916D5" w:rsidTr="00F916D5">
        <w:tc>
          <w:tcPr>
            <w:tcW w:w="3046" w:type="dxa"/>
          </w:tcPr>
          <w:p w:rsidR="00863482" w:rsidRDefault="00863482" w:rsidP="00F916D5">
            <w:r>
              <w:rPr>
                <w:rFonts w:ascii="Arial" w:eastAsia="Times New Roman" w:hAnsi="Arial" w:cs="Arial"/>
                <w:b/>
                <w:bCs/>
                <w:color w:val="000000"/>
                <w:sz w:val="20"/>
                <w:szCs w:val="20"/>
              </w:rPr>
              <w:t>Cultural Resources</w:t>
            </w:r>
          </w:p>
        </w:tc>
        <w:tc>
          <w:tcPr>
            <w:tcW w:w="1414" w:type="dxa"/>
          </w:tcPr>
          <w:p w:rsidR="00863482" w:rsidRDefault="00863482" w:rsidP="00F916D5"/>
        </w:tc>
        <w:tc>
          <w:tcPr>
            <w:tcW w:w="1653" w:type="dxa"/>
          </w:tcPr>
          <w:p w:rsidR="00863482" w:rsidRDefault="00863482" w:rsidP="00F916D5"/>
        </w:tc>
        <w:tc>
          <w:tcPr>
            <w:tcW w:w="0" w:type="auto"/>
          </w:tcPr>
          <w:p w:rsidR="00863482" w:rsidRDefault="00863482" w:rsidP="00F916D5"/>
        </w:tc>
        <w:tc>
          <w:tcPr>
            <w:tcW w:w="0" w:type="auto"/>
          </w:tcPr>
          <w:p w:rsidR="00863482" w:rsidRDefault="00863482" w:rsidP="00F916D5"/>
        </w:tc>
        <w:tc>
          <w:tcPr>
            <w:tcW w:w="0" w:type="auto"/>
          </w:tcPr>
          <w:p w:rsidR="00863482" w:rsidRDefault="00863482" w:rsidP="00F916D5"/>
        </w:tc>
        <w:tc>
          <w:tcPr>
            <w:tcW w:w="0" w:type="auto"/>
          </w:tcPr>
          <w:p w:rsidR="00863482" w:rsidRDefault="00863482" w:rsidP="00F916D5"/>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b/>
                <w:bCs/>
                <w:sz w:val="20"/>
                <w:szCs w:val="20"/>
              </w:rPr>
            </w:pPr>
            <w:r w:rsidRPr="00F916D5">
              <w:rPr>
                <w:rFonts w:ascii="Arial" w:eastAsia="Times New Roman" w:hAnsi="Arial" w:cs="Arial"/>
                <w:b/>
                <w:bCs/>
                <w:sz w:val="20"/>
                <w:szCs w:val="20"/>
              </w:rPr>
              <w:t xml:space="preserve">CR-1: </w:t>
            </w:r>
            <w:r w:rsidRPr="00F916D5">
              <w:rPr>
                <w:rFonts w:ascii="Arial" w:eastAsia="Times New Roman" w:hAnsi="Arial" w:cs="Arial"/>
                <w:sz w:val="20"/>
                <w:szCs w:val="20"/>
              </w:rPr>
              <w:t xml:space="preserve">Prior to the issuance of a grading permit, the Project Applicant shall provide evidence to the City of Moreno Valley that a professional archaeological monitor has been retained by the Applicant to conduct monitoring of all mass grading and trenching activities and that the monitor has the authority to temporarily halt and redirect earthmoving activities in the event that suspected archaeological resources are unearthed during Project construction. The Project archaeologist, with input from the </w:t>
            </w:r>
            <w:r w:rsidRPr="00F916D5">
              <w:rPr>
                <w:rFonts w:ascii="Arial" w:eastAsia="Times New Roman" w:hAnsi="Arial" w:cs="Arial"/>
                <w:sz w:val="20"/>
                <w:szCs w:val="20"/>
              </w:rPr>
              <w:lastRenderedPageBreak/>
              <w:t>appropriate Tribe, shall prepare a Cultural Resources Monitoring Plan (CRMP) to document protocols for inadvertent finds, to determine potential protection measures from further damage and destruction for any identified archaeological resource(s)/ tribal cultural resources (TCRs), outline the process for monitoring and for completion of the final Phase IV Monitoring Report. If any archaeological and/or TCRs are identified during monitoring, these will also be documented and addressed per standard archaeological protocols in the Phase IV report, with the exception of human remains which will be addressed per CUL-5. The Project Archaeologist shall attend the pregrading meeting with the City and contractors to explain and coordinate the requirements of the monitoring program.</w:t>
            </w:r>
          </w:p>
          <w:p w:rsidR="00863482" w:rsidRPr="00863482" w:rsidRDefault="00863482" w:rsidP="00F916D5">
            <w:pPr>
              <w:jc w:val="both"/>
              <w:rPr>
                <w:rFonts w:ascii="Arial" w:hAnsi="Arial" w:cs="Arial"/>
                <w:sz w:val="20"/>
                <w:szCs w:val="20"/>
              </w:rPr>
            </w:pPr>
          </w:p>
        </w:tc>
        <w:tc>
          <w:tcPr>
            <w:tcW w:w="1414" w:type="dxa"/>
          </w:tcPr>
          <w:p w:rsidR="00863482" w:rsidRPr="00F916D5" w:rsidRDefault="00863482" w:rsidP="00F916D5">
            <w:pPr>
              <w:rPr>
                <w:sz w:val="20"/>
                <w:szCs w:val="20"/>
              </w:rPr>
            </w:pPr>
            <w:r w:rsidRPr="00F916D5">
              <w:rPr>
                <w:rFonts w:ascii="Arial" w:eastAsia="Times New Roman" w:hAnsi="Arial" w:cs="Arial"/>
                <w:color w:val="000000"/>
                <w:sz w:val="20"/>
                <w:szCs w:val="20"/>
              </w:rPr>
              <w:lastRenderedPageBreak/>
              <w:t>City of Moreno Valley Land Development Division  and  Planning Division</w:t>
            </w:r>
          </w:p>
        </w:tc>
        <w:tc>
          <w:tcPr>
            <w:tcW w:w="1653" w:type="dxa"/>
          </w:tcPr>
          <w:p w:rsidR="00863482" w:rsidRPr="00F916D5" w:rsidRDefault="00513DC1" w:rsidP="00F916D5">
            <w:pPr>
              <w:rPr>
                <w:sz w:val="20"/>
                <w:szCs w:val="20"/>
              </w:rPr>
            </w:pPr>
            <w:r w:rsidRPr="00F916D5">
              <w:rPr>
                <w:rFonts w:ascii="Arial" w:hAnsi="Arial" w:cs="Arial"/>
                <w:color w:val="000000"/>
                <w:sz w:val="20"/>
                <w:szCs w:val="20"/>
              </w:rPr>
              <w:t>Once prior to Grading and  during grading and construction operations.</w:t>
            </w:r>
          </w:p>
        </w:tc>
        <w:tc>
          <w:tcPr>
            <w:tcW w:w="0" w:type="auto"/>
          </w:tcPr>
          <w:p w:rsidR="00863482" w:rsidRPr="00F916D5" w:rsidRDefault="00513DC1" w:rsidP="00F916D5">
            <w:pPr>
              <w:rPr>
                <w:sz w:val="20"/>
                <w:szCs w:val="20"/>
              </w:rPr>
            </w:pPr>
            <w:r w:rsidRPr="00F916D5">
              <w:rPr>
                <w:rFonts w:ascii="Arial" w:hAnsi="Arial" w:cs="Arial"/>
                <w:color w:val="000000"/>
                <w:sz w:val="20"/>
                <w:szCs w:val="20"/>
              </w:rPr>
              <w:t>Prior to issuance of Grading Permit</w:t>
            </w:r>
          </w:p>
        </w:tc>
        <w:tc>
          <w:tcPr>
            <w:tcW w:w="0" w:type="auto"/>
          </w:tcPr>
          <w:p w:rsidR="00863482" w:rsidRPr="00F916D5" w:rsidRDefault="00513DC1" w:rsidP="00F916D5">
            <w:pPr>
              <w:rPr>
                <w:rFonts w:ascii="Arial" w:hAnsi="Arial" w:cs="Arial"/>
                <w:sz w:val="20"/>
                <w:szCs w:val="20"/>
              </w:rPr>
            </w:pPr>
            <w:r w:rsidRPr="00F916D5">
              <w:rPr>
                <w:rFonts w:ascii="Arial" w:hAnsi="Arial" w:cs="Arial"/>
                <w:color w:val="000000"/>
                <w:sz w:val="20"/>
                <w:szCs w:val="20"/>
              </w:rPr>
              <w:t>Review of construction documents and on-site inspection</w:t>
            </w:r>
          </w:p>
        </w:tc>
        <w:tc>
          <w:tcPr>
            <w:tcW w:w="0" w:type="auto"/>
          </w:tcPr>
          <w:p w:rsidR="00863482" w:rsidRPr="00F916D5" w:rsidRDefault="00863482" w:rsidP="00F916D5">
            <w:pPr>
              <w:rPr>
                <w:sz w:val="20"/>
                <w:szCs w:val="20"/>
              </w:rPr>
            </w:pPr>
          </w:p>
        </w:tc>
        <w:tc>
          <w:tcPr>
            <w:tcW w:w="0" w:type="auto"/>
          </w:tcPr>
          <w:p w:rsidR="00863482" w:rsidRPr="00F916D5" w:rsidRDefault="00513DC1" w:rsidP="00F916D5">
            <w:pPr>
              <w:rPr>
                <w:rFonts w:ascii="Arial" w:hAnsi="Arial" w:cs="Arial"/>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863482" w:rsidRPr="00F916D5" w:rsidRDefault="00F916D5" w:rsidP="00F916D5">
            <w:pPr>
              <w:autoSpaceDE w:val="0"/>
              <w:autoSpaceDN w:val="0"/>
              <w:adjustRightInd w:val="0"/>
              <w:jc w:val="both"/>
              <w:rPr>
                <w:rFonts w:ascii="Times New Roman" w:eastAsia="Times New Roman" w:hAnsi="Times New Roman" w:cs="Times New Roman"/>
                <w:bCs/>
                <w:sz w:val="20"/>
                <w:szCs w:val="20"/>
              </w:rPr>
            </w:pPr>
            <w:r w:rsidRPr="00F916D5">
              <w:rPr>
                <w:rFonts w:ascii="Arial" w:eastAsia="Times New Roman" w:hAnsi="Arial" w:cs="Arial"/>
                <w:b/>
                <w:bCs/>
                <w:color w:val="000000"/>
                <w:sz w:val="20"/>
                <w:szCs w:val="20"/>
              </w:rPr>
              <w:lastRenderedPageBreak/>
              <w:t xml:space="preserve">CR-2: </w:t>
            </w:r>
            <w:r w:rsidRPr="00F916D5">
              <w:rPr>
                <w:rFonts w:ascii="Arial" w:eastAsia="Times New Roman" w:hAnsi="Arial" w:cs="Arial"/>
                <w:color w:val="000000"/>
                <w:sz w:val="20"/>
                <w:szCs w:val="20"/>
              </w:rPr>
              <w:t>At least 30 days prior to the issuance of a grading permit, the Applicant shall contact the appropriate Luiseño tribe to develop a Cultural Resources Treatment Agreement and shall provide evidence to the City of Moreno Valley that the professionally qualified Luiseño Native American monitor(s) has been secured from the interested tribe(s), and that the monitor shall be allowed to monitor all mass grading and trenching activities</w:t>
            </w:r>
            <w:r w:rsidRPr="00F916D5">
              <w:rPr>
                <w:rFonts w:ascii="Arial" w:eastAsia="Times New Roman" w:hAnsi="Arial" w:cs="Arial"/>
                <w:color w:val="1F497D"/>
                <w:sz w:val="20"/>
                <w:szCs w:val="20"/>
              </w:rPr>
              <w:t xml:space="preserve">. </w:t>
            </w:r>
            <w:r w:rsidRPr="00F916D5">
              <w:rPr>
                <w:rFonts w:ascii="Arial" w:eastAsia="Times New Roman" w:hAnsi="Arial" w:cs="Arial"/>
                <w:color w:val="000000"/>
                <w:sz w:val="20"/>
                <w:szCs w:val="20"/>
              </w:rPr>
              <w:t>The Tribal representative(s) shall attend the pre-grading meeting with the City and contractors to explain and coordinate the requirements of the monitoring program</w:t>
            </w:r>
            <w:r w:rsidRPr="00F916D5">
              <w:rPr>
                <w:rFonts w:ascii="Times New Roman" w:eastAsia="Times New Roman" w:hAnsi="Times New Roman" w:cs="Times New Roman"/>
                <w:color w:val="000000"/>
                <w:sz w:val="20"/>
                <w:szCs w:val="20"/>
              </w:rPr>
              <w:t>.</w:t>
            </w:r>
          </w:p>
        </w:tc>
        <w:tc>
          <w:tcPr>
            <w:tcW w:w="1414" w:type="dxa"/>
          </w:tcPr>
          <w:p w:rsidR="00863482" w:rsidRPr="00F916D5" w:rsidRDefault="00513DC1" w:rsidP="00F916D5">
            <w:pPr>
              <w:rPr>
                <w:sz w:val="20"/>
                <w:szCs w:val="20"/>
              </w:rPr>
            </w:pPr>
            <w:r w:rsidRPr="00F916D5">
              <w:rPr>
                <w:rFonts w:ascii="Arial" w:eastAsia="Times New Roman" w:hAnsi="Arial" w:cs="Arial"/>
                <w:color w:val="000000"/>
                <w:sz w:val="20"/>
                <w:szCs w:val="20"/>
              </w:rPr>
              <w:t>City of Moreno Valley Land Development Division  and  Planning Division</w:t>
            </w:r>
          </w:p>
        </w:tc>
        <w:tc>
          <w:tcPr>
            <w:tcW w:w="1653" w:type="dxa"/>
          </w:tcPr>
          <w:p w:rsidR="00863482" w:rsidRPr="00F916D5" w:rsidRDefault="00513DC1" w:rsidP="00F916D5">
            <w:pPr>
              <w:rPr>
                <w:sz w:val="20"/>
                <w:szCs w:val="20"/>
              </w:rPr>
            </w:pPr>
            <w:r w:rsidRPr="00F916D5">
              <w:rPr>
                <w:rFonts w:ascii="Arial" w:hAnsi="Arial" w:cs="Arial"/>
                <w:color w:val="000000"/>
                <w:sz w:val="20"/>
                <w:szCs w:val="20"/>
              </w:rPr>
              <w:t>Once prior to Grading and  during grading and construction operations.</w:t>
            </w:r>
          </w:p>
        </w:tc>
        <w:tc>
          <w:tcPr>
            <w:tcW w:w="0" w:type="auto"/>
          </w:tcPr>
          <w:p w:rsidR="00863482" w:rsidRPr="00F916D5" w:rsidRDefault="00513DC1" w:rsidP="00F916D5">
            <w:pPr>
              <w:rPr>
                <w:sz w:val="20"/>
                <w:szCs w:val="20"/>
              </w:rPr>
            </w:pPr>
            <w:r w:rsidRPr="00F916D5">
              <w:rPr>
                <w:rFonts w:ascii="Arial" w:hAnsi="Arial" w:cs="Arial"/>
                <w:color w:val="000000"/>
                <w:sz w:val="20"/>
                <w:szCs w:val="20"/>
              </w:rPr>
              <w:t>Prior to issuance of Grading Permit</w:t>
            </w:r>
          </w:p>
        </w:tc>
        <w:tc>
          <w:tcPr>
            <w:tcW w:w="0" w:type="auto"/>
          </w:tcPr>
          <w:p w:rsidR="00863482" w:rsidRPr="00F916D5" w:rsidRDefault="00513DC1" w:rsidP="00F916D5">
            <w:pPr>
              <w:rPr>
                <w:sz w:val="20"/>
                <w:szCs w:val="20"/>
              </w:rPr>
            </w:pPr>
            <w:r w:rsidRPr="00F916D5">
              <w:rPr>
                <w:rFonts w:ascii="Arial" w:hAnsi="Arial" w:cs="Arial"/>
                <w:color w:val="000000"/>
                <w:sz w:val="20"/>
                <w:szCs w:val="20"/>
              </w:rPr>
              <w:t>Review of construction documents and on-site inspection</w:t>
            </w:r>
          </w:p>
        </w:tc>
        <w:tc>
          <w:tcPr>
            <w:tcW w:w="0" w:type="auto"/>
          </w:tcPr>
          <w:p w:rsidR="00863482" w:rsidRPr="00F916D5" w:rsidRDefault="00863482" w:rsidP="00F916D5">
            <w:pPr>
              <w:rPr>
                <w:sz w:val="20"/>
                <w:szCs w:val="20"/>
              </w:rPr>
            </w:pPr>
          </w:p>
        </w:tc>
        <w:tc>
          <w:tcPr>
            <w:tcW w:w="0" w:type="auto"/>
          </w:tcPr>
          <w:p w:rsidR="00863482" w:rsidRPr="00F916D5" w:rsidRDefault="00513DC1" w:rsidP="00F916D5">
            <w:pPr>
              <w:rPr>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sz w:val="20"/>
                <w:szCs w:val="20"/>
              </w:rPr>
            </w:pPr>
            <w:r w:rsidRPr="00F916D5">
              <w:rPr>
                <w:rFonts w:ascii="Arial" w:eastAsia="Times New Roman" w:hAnsi="Arial" w:cs="Arial"/>
                <w:b/>
                <w:bCs/>
                <w:sz w:val="20"/>
                <w:szCs w:val="20"/>
              </w:rPr>
              <w:t xml:space="preserve">CR-3: </w:t>
            </w:r>
            <w:r w:rsidRPr="00F916D5">
              <w:rPr>
                <w:rFonts w:ascii="Arial" w:eastAsia="Times New Roman" w:hAnsi="Arial" w:cs="Arial"/>
                <w:sz w:val="20"/>
                <w:szCs w:val="20"/>
              </w:rPr>
              <w:t xml:space="preserve">If, during mass grading and trenching activities, the Archaeologist or Tribal representatives suspect that an archaeological resource and/or TCR may have been unearthed, the monitor identifying the potential resources, in consultation with the other monitor as appropriate, shall immediately halt and redirect grading operations in a 100-foot radius around the find to allow identification </w:t>
            </w:r>
            <w:r w:rsidRPr="00F916D5">
              <w:rPr>
                <w:rFonts w:ascii="Arial" w:eastAsia="Times New Roman" w:hAnsi="Arial" w:cs="Arial"/>
                <w:sz w:val="20"/>
                <w:szCs w:val="20"/>
              </w:rPr>
              <w:lastRenderedPageBreak/>
              <w:t>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w:t>
            </w: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lastRenderedPageBreak/>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sz w:val="20"/>
                <w:szCs w:val="20"/>
              </w:rPr>
            </w:pPr>
            <w:r w:rsidRPr="00F916D5">
              <w:rPr>
                <w:rFonts w:ascii="Arial" w:eastAsia="Times New Roman" w:hAnsi="Arial" w:cs="Arial"/>
                <w:b/>
                <w:bCs/>
                <w:sz w:val="20"/>
                <w:szCs w:val="20"/>
              </w:rPr>
              <w:lastRenderedPageBreak/>
              <w:t>CR-4</w:t>
            </w:r>
            <w:r w:rsidRPr="00F916D5">
              <w:rPr>
                <w:rFonts w:ascii="Arial" w:eastAsia="Times New Roman" w:hAnsi="Arial" w:cs="Arial"/>
                <w:bCs/>
                <w:sz w:val="20"/>
                <w:szCs w:val="20"/>
              </w:rPr>
              <w:t xml:space="preserve">: </w:t>
            </w:r>
            <w:r w:rsidRPr="00F916D5">
              <w:rPr>
                <w:rFonts w:ascii="Arial" w:eastAsia="Times New Roman" w:hAnsi="Arial" w:cs="Arial"/>
                <w:sz w:val="20"/>
                <w:szCs w:val="20"/>
              </w:rPr>
              <w:t>Prior to grading permit issuance, the City shall verify that the following note is included on the Grading Plan:</w:t>
            </w:r>
          </w:p>
          <w:p w:rsidR="00F916D5" w:rsidRPr="00F916D5" w:rsidRDefault="00F916D5" w:rsidP="00F916D5">
            <w:pPr>
              <w:autoSpaceDE w:val="0"/>
              <w:autoSpaceDN w:val="0"/>
              <w:adjustRightInd w:val="0"/>
              <w:ind w:left="720" w:hanging="720"/>
              <w:jc w:val="both"/>
              <w:rPr>
                <w:rFonts w:ascii="Arial" w:eastAsia="Times New Roman" w:hAnsi="Arial" w:cs="Arial"/>
                <w:sz w:val="20"/>
                <w:szCs w:val="20"/>
              </w:rPr>
            </w:pPr>
          </w:p>
          <w:p w:rsidR="00F916D5" w:rsidRPr="00F916D5" w:rsidRDefault="00F916D5" w:rsidP="00F916D5">
            <w:pPr>
              <w:autoSpaceDE w:val="0"/>
              <w:autoSpaceDN w:val="0"/>
              <w:adjustRightInd w:val="0"/>
              <w:jc w:val="both"/>
              <w:rPr>
                <w:rFonts w:ascii="Arial" w:eastAsia="Times New Roman" w:hAnsi="Arial" w:cs="Arial"/>
                <w:bCs/>
                <w:sz w:val="20"/>
                <w:szCs w:val="20"/>
              </w:rPr>
            </w:pPr>
            <w:r w:rsidRPr="00F916D5">
              <w:rPr>
                <w:rFonts w:ascii="Arial" w:eastAsia="Times New Roman" w:hAnsi="Arial" w:cs="Arial"/>
                <w:sz w:val="20"/>
                <w:szCs w:val="20"/>
              </w:rPr>
              <w:t>“If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the significance of the find."</w:t>
            </w: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bCs/>
                <w:sz w:val="20"/>
                <w:szCs w:val="20"/>
              </w:rPr>
            </w:pPr>
            <w:r w:rsidRPr="00F916D5">
              <w:rPr>
                <w:rFonts w:ascii="Arial" w:eastAsia="Times New Roman" w:hAnsi="Arial" w:cs="Arial"/>
                <w:b/>
                <w:bCs/>
                <w:sz w:val="20"/>
                <w:szCs w:val="20"/>
              </w:rPr>
              <w:t xml:space="preserve">CR-5: </w:t>
            </w:r>
            <w:r w:rsidRPr="00F916D5">
              <w:rPr>
                <w:rFonts w:ascii="Arial" w:eastAsia="Times New Roman" w:hAnsi="Arial" w:cs="Arial"/>
                <w:sz w:val="20"/>
                <w:szCs w:val="20"/>
              </w:rPr>
              <w:t xml:space="preserve">If human remains are encountered, California Health and Safety Code Section 7050.5 states that no further disturbance shall occur until the Riverside County Coroner has made the necessary findings as to origin. Further, pursuant to California Public Resources Code Section 5097.98(b), remains shall be left in place and free from disturbance until a final decision as to the treatment and disposition has been made by the Coroner. If the Riverside County Coroner determines the remains to be Native American, the California Native American Heritage Commission must be contacted within 24 hours. The Native American Heritage Commission must then </w:t>
            </w:r>
            <w:r w:rsidRPr="00F916D5">
              <w:rPr>
                <w:rFonts w:ascii="Arial" w:eastAsia="Times New Roman" w:hAnsi="Arial" w:cs="Arial"/>
                <w:sz w:val="20"/>
                <w:szCs w:val="20"/>
              </w:rPr>
              <w:lastRenderedPageBreak/>
              <w:t>immediately notify the “most likely descendant(s)” of receiving notification of the discovery. The most likely descendant(s) shall then make recommendations within 48 hours, and engage in consultations concerning the treatment of the remains as provided in Public Resources Code §5097.98.</w:t>
            </w:r>
          </w:p>
          <w:p w:rsidR="00F916D5" w:rsidRPr="00F916D5" w:rsidRDefault="00F916D5" w:rsidP="00F916D5">
            <w:pPr>
              <w:autoSpaceDE w:val="0"/>
              <w:autoSpaceDN w:val="0"/>
              <w:adjustRightInd w:val="0"/>
              <w:jc w:val="both"/>
              <w:rPr>
                <w:rFonts w:ascii="Arial" w:eastAsia="Times New Roman" w:hAnsi="Arial" w:cs="Arial"/>
                <w:bCs/>
                <w:sz w:val="20"/>
                <w:szCs w:val="20"/>
              </w:rPr>
            </w:pP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lastRenderedPageBreak/>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164774" w:rsidRPr="00164774" w:rsidRDefault="00164774" w:rsidP="00164774">
            <w:pPr>
              <w:autoSpaceDE w:val="0"/>
              <w:autoSpaceDN w:val="0"/>
              <w:adjustRightInd w:val="0"/>
              <w:jc w:val="both"/>
              <w:rPr>
                <w:rFonts w:ascii="Arial" w:eastAsia="Times New Roman" w:hAnsi="Arial" w:cs="Arial"/>
                <w:sz w:val="20"/>
                <w:szCs w:val="20"/>
              </w:rPr>
            </w:pPr>
            <w:r w:rsidRPr="00164774">
              <w:rPr>
                <w:rFonts w:ascii="Arial" w:eastAsia="Times New Roman" w:hAnsi="Arial" w:cs="Arial"/>
                <w:b/>
                <w:bCs/>
                <w:sz w:val="20"/>
                <w:szCs w:val="20"/>
              </w:rPr>
              <w:lastRenderedPageBreak/>
              <w:t xml:space="preserve">CR-6: </w:t>
            </w:r>
            <w:r w:rsidRPr="00164774">
              <w:rPr>
                <w:rFonts w:ascii="Arial" w:eastAsia="Times New Roman" w:hAnsi="Arial" w:cs="Arial"/>
                <w:sz w:val="20"/>
                <w:szCs w:val="20"/>
              </w:rPr>
              <w:t>Prior to construction involving excavation four feet or more below existing surface grade, the construction contractor shall provide evidence that a qualified paleontologist has been retained, and that the paleontologist(s) shall be present during all grading and other significant ground-disturbing activities that reach four feet or more below existing surface grade. In the event fossiliferous deposits are encountered, the following measures shall be implemented:</w:t>
            </w:r>
          </w:p>
          <w:p w:rsidR="00164774" w:rsidRPr="00164774" w:rsidRDefault="00164774" w:rsidP="00164774">
            <w:pPr>
              <w:autoSpaceDE w:val="0"/>
              <w:autoSpaceDN w:val="0"/>
              <w:adjustRightInd w:val="0"/>
              <w:jc w:val="both"/>
              <w:rPr>
                <w:rFonts w:ascii="Arial" w:eastAsia="SymbolMT" w:hAnsi="Arial" w:cs="Arial"/>
                <w:sz w:val="24"/>
                <w:szCs w:val="24"/>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Monitoring shall be conducted by qualified paleontological monitor(s) of excavation in areas identified as likely to contain paleontological resources, including very old alluvial fan deposits. Paleontological monitors shall be equipped to salvage fossils as they are unearthed, to avoid construction delays, and to remove samples of sediments that are likely to contain the remains of small fossil invertebrates and vertebrates. Monitors shall be empowered to temporarily halt or divert equipment to allow removal of abundant or large specimens. Monitoring may be reduced if the potentially fossiliferous units are determined upon exposure and examination by qualified paleontological personnel to have low potential to contain fossil resources.</w:t>
            </w:r>
          </w:p>
          <w:p w:rsidR="00164774" w:rsidRDefault="00164774" w:rsidP="00164774">
            <w:pPr>
              <w:widowControl w:val="0"/>
              <w:tabs>
                <w:tab w:val="left" w:pos="1080"/>
              </w:tabs>
              <w:autoSpaceDE w:val="0"/>
              <w:autoSpaceDN w:val="0"/>
              <w:adjustRightInd w:val="0"/>
              <w:ind w:left="1080" w:hanging="1080"/>
              <w:contextualSpacing/>
              <w:jc w:val="both"/>
              <w:rPr>
                <w:rFonts w:ascii="Arial" w:eastAsia="Times New Roman" w:hAnsi="Arial" w:cs="Arial"/>
                <w:sz w:val="20"/>
                <w:szCs w:val="20"/>
              </w:rPr>
            </w:pPr>
          </w:p>
          <w:p w:rsidR="00164774" w:rsidRPr="00164774" w:rsidRDefault="00164774" w:rsidP="00164774">
            <w:pPr>
              <w:widowControl w:val="0"/>
              <w:tabs>
                <w:tab w:val="left" w:pos="1080"/>
              </w:tabs>
              <w:autoSpaceDE w:val="0"/>
              <w:autoSpaceDN w:val="0"/>
              <w:adjustRightInd w:val="0"/>
              <w:ind w:left="1080" w:hanging="108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lastRenderedPageBreak/>
              <w:t>Paleontological monitoring of any earthmoving will be conducted by a monitor, under direct guidance of a qualified paleontologist. Earthmoving in areas of the parcel where previously undisturbed sediments are buried, but not otherwise disturbed, will not be monitored.</w:t>
            </w:r>
          </w:p>
          <w:p w:rsidR="00164774" w:rsidRPr="00164774" w:rsidRDefault="00164774" w:rsidP="00164774">
            <w:pPr>
              <w:autoSpaceDE w:val="0"/>
              <w:autoSpaceDN w:val="0"/>
              <w:adjustRightInd w:val="0"/>
              <w:ind w:left="1080" w:hanging="108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If too few fossil remains are found after 50 percent of the planned-for earthmoving has been completed, monitoring can be reduced or discontinued in those areas at the Project paleontologist’s direction.</w:t>
            </w:r>
          </w:p>
          <w:p w:rsidR="00164774" w:rsidRPr="00164774" w:rsidRDefault="00164774" w:rsidP="00164774">
            <w:pPr>
              <w:widowControl w:val="0"/>
              <w:ind w:left="72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Preparation of recovered specimens to a point of identification and permanent preservation, including washing of sediments to recover small invertebrates and vertebrates.</w:t>
            </w:r>
          </w:p>
          <w:p w:rsidR="00164774" w:rsidRPr="00164774" w:rsidRDefault="00164774" w:rsidP="00164774">
            <w:pPr>
              <w:widowControl w:val="0"/>
              <w:ind w:left="72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Identification and curation of specimens into a professional, fully accredited museum repository with permanent retrievable storage. The paleontologist must have a written repository agreement in hand prior to the initiation of mitigation activities.</w:t>
            </w:r>
          </w:p>
          <w:p w:rsidR="00164774" w:rsidRPr="00164774" w:rsidRDefault="00164774" w:rsidP="00164774">
            <w:pPr>
              <w:autoSpaceDE w:val="0"/>
              <w:autoSpaceDN w:val="0"/>
              <w:adjustRightInd w:val="0"/>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napToGrid w:val="0"/>
                <w:sz w:val="20"/>
                <w:szCs w:val="20"/>
              </w:rPr>
            </w:pPr>
            <w:r w:rsidRPr="00164774">
              <w:rPr>
                <w:rFonts w:ascii="Arial" w:eastAsia="Times New Roman" w:hAnsi="Arial" w:cs="Arial"/>
                <w:sz w:val="20"/>
                <w:szCs w:val="20"/>
              </w:rPr>
              <w:t>Preparation or a report of findings with and appended itemized inventory of specimens. The report and inventory, when submitted to the city along with confirmation of the curation of recovered of recovered specimens into an established, accredited museum repository, will signify completion of the program to mitigate impacts to paleontological resources.</w:t>
            </w:r>
          </w:p>
          <w:p w:rsidR="00F916D5" w:rsidRDefault="00F916D5"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Pr="00F916D5" w:rsidRDefault="00164774" w:rsidP="00F916D5">
            <w:pPr>
              <w:autoSpaceDE w:val="0"/>
              <w:autoSpaceDN w:val="0"/>
              <w:adjustRightInd w:val="0"/>
              <w:jc w:val="both"/>
              <w:rPr>
                <w:rFonts w:ascii="Arial" w:eastAsia="Times New Roman" w:hAnsi="Arial" w:cs="Arial"/>
                <w:bCs/>
                <w:sz w:val="20"/>
                <w:szCs w:val="20"/>
              </w:rPr>
            </w:pP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lastRenderedPageBreak/>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16D4B" w:rsidTr="00F916D5">
        <w:tc>
          <w:tcPr>
            <w:tcW w:w="0" w:type="auto"/>
          </w:tcPr>
          <w:p w:rsidR="00F16D4B" w:rsidRDefault="00F16D4B" w:rsidP="00F916D5">
            <w:r>
              <w:rPr>
                <w:rFonts w:ascii="Arial" w:eastAsia="Times New Roman" w:hAnsi="Arial" w:cs="Arial"/>
                <w:b/>
                <w:bCs/>
                <w:color w:val="000000"/>
                <w:sz w:val="20"/>
                <w:szCs w:val="20"/>
              </w:rPr>
              <w:lastRenderedPageBreak/>
              <w:t>Mitigation Measure No.</w:t>
            </w:r>
          </w:p>
        </w:tc>
        <w:tc>
          <w:tcPr>
            <w:tcW w:w="0" w:type="auto"/>
          </w:tcPr>
          <w:p w:rsidR="00F16D4B" w:rsidRDefault="00F16D4B" w:rsidP="00F916D5">
            <w:r w:rsidRPr="00235F6C">
              <w:rPr>
                <w:rFonts w:ascii="Arial" w:eastAsia="Times New Roman" w:hAnsi="Arial" w:cs="Arial"/>
                <w:b/>
                <w:bCs/>
                <w:color w:val="000000"/>
                <w:sz w:val="20"/>
                <w:szCs w:val="20"/>
              </w:rPr>
              <w:t>Responsible for Monitoring</w:t>
            </w:r>
          </w:p>
        </w:tc>
        <w:tc>
          <w:tcPr>
            <w:tcW w:w="0" w:type="auto"/>
          </w:tcPr>
          <w:p w:rsidR="00F16D4B" w:rsidRDefault="00F16D4B" w:rsidP="00F916D5">
            <w:r w:rsidRPr="00235F6C">
              <w:rPr>
                <w:rFonts w:ascii="Arial" w:eastAsia="Times New Roman" w:hAnsi="Arial" w:cs="Arial"/>
                <w:b/>
                <w:bCs/>
                <w:color w:val="000000"/>
                <w:sz w:val="20"/>
                <w:szCs w:val="20"/>
              </w:rPr>
              <w:t>Monitoring Frequency</w:t>
            </w:r>
          </w:p>
        </w:tc>
        <w:tc>
          <w:tcPr>
            <w:tcW w:w="0" w:type="auto"/>
          </w:tcPr>
          <w:p w:rsidR="00F16D4B" w:rsidRDefault="00F16D4B" w:rsidP="00F916D5">
            <w:r w:rsidRPr="00235F6C">
              <w:rPr>
                <w:rFonts w:ascii="Arial" w:eastAsia="Times New Roman" w:hAnsi="Arial" w:cs="Arial"/>
                <w:b/>
                <w:bCs/>
                <w:color w:val="000000"/>
                <w:sz w:val="20"/>
                <w:szCs w:val="20"/>
              </w:rPr>
              <w:t>Timing of Verification</w:t>
            </w:r>
          </w:p>
        </w:tc>
        <w:tc>
          <w:tcPr>
            <w:tcW w:w="0" w:type="auto"/>
          </w:tcPr>
          <w:p w:rsidR="00F16D4B" w:rsidRDefault="00F16D4B" w:rsidP="00F916D5">
            <w:r w:rsidRPr="00235F6C">
              <w:rPr>
                <w:rFonts w:ascii="Arial" w:eastAsia="Times New Roman" w:hAnsi="Arial" w:cs="Arial"/>
                <w:b/>
                <w:bCs/>
                <w:color w:val="000000"/>
                <w:sz w:val="20"/>
                <w:szCs w:val="20"/>
              </w:rPr>
              <w:t>Method of Verification</w:t>
            </w:r>
          </w:p>
        </w:tc>
        <w:tc>
          <w:tcPr>
            <w:tcW w:w="0" w:type="auto"/>
          </w:tcPr>
          <w:p w:rsidR="00F16D4B" w:rsidRDefault="00F16D4B" w:rsidP="00F916D5">
            <w:r w:rsidRPr="00235F6C">
              <w:rPr>
                <w:rFonts w:ascii="Arial" w:eastAsia="Times New Roman" w:hAnsi="Arial" w:cs="Arial"/>
                <w:b/>
                <w:bCs/>
                <w:color w:val="000000"/>
                <w:sz w:val="20"/>
                <w:szCs w:val="20"/>
              </w:rPr>
              <w:t>Verified Date/Initials</w:t>
            </w:r>
          </w:p>
        </w:tc>
        <w:tc>
          <w:tcPr>
            <w:tcW w:w="0" w:type="auto"/>
          </w:tcPr>
          <w:p w:rsidR="00F16D4B" w:rsidRDefault="00F16D4B" w:rsidP="00F916D5">
            <w:r w:rsidRPr="00235F6C">
              <w:rPr>
                <w:rFonts w:ascii="Arial" w:eastAsia="Times New Roman" w:hAnsi="Arial" w:cs="Arial"/>
                <w:b/>
                <w:bCs/>
                <w:color w:val="000000"/>
                <w:sz w:val="20"/>
                <w:szCs w:val="20"/>
              </w:rPr>
              <w:t>Sanctions for Non-Compliance</w:t>
            </w:r>
          </w:p>
        </w:tc>
      </w:tr>
      <w:tr w:rsidR="00F16D4B" w:rsidTr="00F916D5">
        <w:tc>
          <w:tcPr>
            <w:tcW w:w="0" w:type="auto"/>
          </w:tcPr>
          <w:p w:rsidR="00F16D4B" w:rsidRDefault="00F16D4B" w:rsidP="00F916D5">
            <w:r>
              <w:rPr>
                <w:rFonts w:ascii="Arial" w:eastAsia="Times New Roman" w:hAnsi="Arial" w:cs="Arial"/>
                <w:b/>
                <w:bCs/>
                <w:color w:val="000000"/>
                <w:sz w:val="20"/>
                <w:szCs w:val="20"/>
              </w:rPr>
              <w:t>Noise</w:t>
            </w:r>
          </w:p>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r>
      <w:tr w:rsidR="00F16D4B" w:rsidTr="00F916D5">
        <w:tc>
          <w:tcPr>
            <w:tcW w:w="0" w:type="auto"/>
          </w:tcPr>
          <w:p w:rsidR="00F16D4B" w:rsidRPr="00863482" w:rsidRDefault="00F16D4B" w:rsidP="00F916D5">
            <w:pPr>
              <w:autoSpaceDE w:val="0"/>
              <w:autoSpaceDN w:val="0"/>
              <w:adjustRightInd w:val="0"/>
              <w:spacing w:after="60"/>
              <w:jc w:val="both"/>
              <w:rPr>
                <w:rFonts w:ascii="Arial" w:eastAsia="Times New Roman" w:hAnsi="Arial" w:cs="Arial"/>
                <w:sz w:val="20"/>
                <w:szCs w:val="20"/>
              </w:rPr>
            </w:pPr>
            <w:r w:rsidRPr="00863482">
              <w:rPr>
                <w:rFonts w:ascii="Arial" w:eastAsia="Times New Roman" w:hAnsi="Arial" w:cs="Arial"/>
                <w:b/>
                <w:sz w:val="20"/>
                <w:szCs w:val="20"/>
              </w:rPr>
              <w:t>N-1:</w:t>
            </w:r>
            <w:r w:rsidRPr="00863482">
              <w:rPr>
                <w:rFonts w:ascii="Arial" w:eastAsia="Times New Roman" w:hAnsi="Arial" w:cs="Arial"/>
                <w:sz w:val="20"/>
                <w:szCs w:val="20"/>
              </w:rPr>
              <w:t xml:space="preserve"> Construction activities shall be operated in a manner that limits noise impacts on surrounding uses (General Plan </w:t>
            </w:r>
            <w:r w:rsidRPr="00863482">
              <w:rPr>
                <w:rFonts w:ascii="Arial" w:eastAsia="Times New Roman" w:hAnsi="Arial" w:cs="Arial"/>
                <w:bCs/>
                <w:sz w:val="20"/>
                <w:szCs w:val="20"/>
              </w:rPr>
              <w:t>Policy 6.5.2</w:t>
            </w:r>
            <w:r w:rsidRPr="00863482">
              <w:rPr>
                <w:rFonts w:ascii="Arial" w:eastAsia="Times New Roman" w:hAnsi="Arial" w:cs="Arial"/>
                <w:sz w:val="20"/>
                <w:szCs w:val="20"/>
              </w:rPr>
              <w:t>).  In order to limit noise impacts on surrounding property, the construction contractor will ensure the following:</w:t>
            </w:r>
          </w:p>
          <w:p w:rsidR="00F16D4B" w:rsidRPr="00863482" w:rsidRDefault="00F16D4B" w:rsidP="00F916D5">
            <w:pPr>
              <w:numPr>
                <w:ilvl w:val="0"/>
                <w:numId w:val="2"/>
              </w:numPr>
              <w:tabs>
                <w:tab w:val="clear" w:pos="1440"/>
                <w:tab w:val="left" w:pos="187"/>
              </w:tabs>
              <w:autoSpaceDE w:val="0"/>
              <w:autoSpaceDN w:val="0"/>
              <w:adjustRightInd w:val="0"/>
              <w:spacing w:after="60"/>
              <w:ind w:left="0" w:firstLine="0"/>
              <w:jc w:val="both"/>
              <w:rPr>
                <w:rFonts w:ascii="Arial" w:eastAsia="Times New Roman" w:hAnsi="Arial" w:cs="Arial"/>
                <w:sz w:val="20"/>
                <w:szCs w:val="20"/>
              </w:rPr>
            </w:pPr>
            <w:r w:rsidRPr="00863482">
              <w:rPr>
                <w:rFonts w:ascii="Arial" w:eastAsia="Times New Roman" w:hAnsi="Arial" w:cs="Arial"/>
                <w:sz w:val="20"/>
                <w:szCs w:val="20"/>
              </w:rPr>
              <w:t xml:space="preserve">All construction equipment powered by gasoline or diesel engines will be required to have sound-control devices at least as effective as those originally provided by the manufacturer; no equipment will be permitted to have an </w:t>
            </w:r>
            <w:proofErr w:type="spellStart"/>
            <w:r w:rsidRPr="00863482">
              <w:rPr>
                <w:rFonts w:ascii="Arial" w:eastAsia="Times New Roman" w:hAnsi="Arial" w:cs="Arial"/>
                <w:sz w:val="20"/>
                <w:szCs w:val="20"/>
              </w:rPr>
              <w:t>unmuffled</w:t>
            </w:r>
            <w:proofErr w:type="spellEnd"/>
            <w:r w:rsidRPr="00863482">
              <w:rPr>
                <w:rFonts w:ascii="Arial" w:eastAsia="Times New Roman" w:hAnsi="Arial" w:cs="Arial"/>
                <w:sz w:val="20"/>
                <w:szCs w:val="20"/>
              </w:rPr>
              <w:t xml:space="preserve"> exhaust.</w:t>
            </w:r>
          </w:p>
          <w:p w:rsidR="00F16D4B" w:rsidRPr="00863482" w:rsidRDefault="00F16D4B" w:rsidP="00F916D5">
            <w:pPr>
              <w:numPr>
                <w:ilvl w:val="0"/>
                <w:numId w:val="2"/>
              </w:numPr>
              <w:tabs>
                <w:tab w:val="clear" w:pos="1440"/>
                <w:tab w:val="left" w:pos="150"/>
              </w:tabs>
              <w:autoSpaceDE w:val="0"/>
              <w:autoSpaceDN w:val="0"/>
              <w:adjustRightInd w:val="0"/>
              <w:spacing w:after="60"/>
              <w:ind w:left="0" w:firstLine="0"/>
              <w:jc w:val="both"/>
              <w:rPr>
                <w:rFonts w:ascii="Arial" w:eastAsia="Times New Roman" w:hAnsi="Arial" w:cs="Arial"/>
                <w:sz w:val="20"/>
                <w:szCs w:val="20"/>
              </w:rPr>
            </w:pPr>
            <w:r w:rsidRPr="00863482">
              <w:rPr>
                <w:rFonts w:ascii="Arial" w:eastAsia="Times New Roman" w:hAnsi="Arial" w:cs="Arial"/>
                <w:sz w:val="20"/>
                <w:szCs w:val="20"/>
              </w:rPr>
              <w:t>Mobile noise-generating equipment and machinery will be shut off when not in use;</w:t>
            </w:r>
          </w:p>
          <w:p w:rsidR="00F16D4B" w:rsidRPr="00F16D4B" w:rsidRDefault="00F16D4B" w:rsidP="00F916D5">
            <w:pPr>
              <w:pStyle w:val="ListParagraph"/>
              <w:numPr>
                <w:ilvl w:val="0"/>
                <w:numId w:val="2"/>
              </w:numPr>
              <w:tabs>
                <w:tab w:val="clear" w:pos="1440"/>
                <w:tab w:val="left" w:pos="187"/>
              </w:tabs>
              <w:ind w:left="0" w:firstLine="0"/>
              <w:jc w:val="both"/>
              <w:rPr>
                <w:rFonts w:ascii="Arial" w:hAnsi="Arial" w:cs="Arial"/>
                <w:sz w:val="20"/>
                <w:szCs w:val="20"/>
              </w:rPr>
            </w:pPr>
            <w:r w:rsidRPr="00F16D4B">
              <w:rPr>
                <w:rFonts w:ascii="Arial" w:eastAsia="Times New Roman" w:hAnsi="Arial" w:cs="Arial"/>
                <w:sz w:val="20"/>
                <w:szCs w:val="20"/>
              </w:rPr>
              <w:t>Construction vehicles assessing the site will be required to use the shortest possible route to and from local freeways, provided the routes do not expose additional receptors to noise</w:t>
            </w:r>
          </w:p>
        </w:tc>
        <w:tc>
          <w:tcPr>
            <w:tcW w:w="0" w:type="auto"/>
          </w:tcPr>
          <w:p w:rsidR="00513DC1" w:rsidRPr="006B0B4F" w:rsidRDefault="00513DC1" w:rsidP="00F916D5">
            <w:pPr>
              <w:autoSpaceDE w:val="0"/>
              <w:autoSpaceDN w:val="0"/>
              <w:adjustRightInd w:val="0"/>
              <w:rPr>
                <w:rFonts w:ascii="Arial" w:hAnsi="Arial" w:cs="Arial"/>
                <w:color w:val="000000"/>
                <w:sz w:val="20"/>
                <w:szCs w:val="20"/>
              </w:rPr>
            </w:pPr>
            <w:r w:rsidRPr="006B0B4F">
              <w:rPr>
                <w:rFonts w:ascii="Arial" w:hAnsi="Arial" w:cs="Arial"/>
                <w:color w:val="000000"/>
                <w:sz w:val="20"/>
                <w:szCs w:val="20"/>
              </w:rPr>
              <w:t xml:space="preserve">City of Moreno Valley Engineering and Building and Safety </w:t>
            </w:r>
          </w:p>
          <w:p w:rsidR="00F16D4B" w:rsidRDefault="00513DC1" w:rsidP="00F916D5">
            <w:r w:rsidRPr="006B0B4F">
              <w:rPr>
                <w:rFonts w:ascii="Arial" w:hAnsi="Arial" w:cs="Arial"/>
                <w:color w:val="000000"/>
                <w:sz w:val="20"/>
                <w:szCs w:val="20"/>
              </w:rPr>
              <w:t>Planning Division</w:t>
            </w:r>
          </w:p>
        </w:tc>
        <w:tc>
          <w:tcPr>
            <w:tcW w:w="0" w:type="auto"/>
          </w:tcPr>
          <w:p w:rsidR="00F16D4B" w:rsidRDefault="00513DC1" w:rsidP="00F916D5">
            <w:r w:rsidRPr="006B0B4F">
              <w:rPr>
                <w:rFonts w:ascii="Arial" w:hAnsi="Arial" w:cs="Arial"/>
                <w:color w:val="000000"/>
                <w:sz w:val="20"/>
                <w:szCs w:val="20"/>
              </w:rPr>
              <w:t>Once prior to Grading and  during grading and construction operations.</w:t>
            </w:r>
          </w:p>
        </w:tc>
        <w:tc>
          <w:tcPr>
            <w:tcW w:w="0" w:type="auto"/>
          </w:tcPr>
          <w:p w:rsidR="00F16D4B" w:rsidRDefault="00513DC1" w:rsidP="00F916D5">
            <w:r>
              <w:rPr>
                <w:rFonts w:ascii="Arial" w:hAnsi="Arial" w:cs="Arial"/>
                <w:color w:val="000000"/>
                <w:sz w:val="20"/>
                <w:szCs w:val="20"/>
              </w:rPr>
              <w:t>Prior to issuance of G</w:t>
            </w:r>
            <w:r w:rsidRPr="006B0B4F">
              <w:rPr>
                <w:rFonts w:ascii="Arial" w:hAnsi="Arial" w:cs="Arial"/>
                <w:color w:val="000000"/>
                <w:sz w:val="20"/>
                <w:szCs w:val="20"/>
              </w:rPr>
              <w:t xml:space="preserve">rading </w:t>
            </w:r>
            <w:r>
              <w:rPr>
                <w:rFonts w:ascii="Arial" w:hAnsi="Arial" w:cs="Arial"/>
                <w:color w:val="000000"/>
                <w:sz w:val="20"/>
                <w:szCs w:val="20"/>
              </w:rPr>
              <w:t>Permit</w:t>
            </w:r>
          </w:p>
        </w:tc>
        <w:tc>
          <w:tcPr>
            <w:tcW w:w="0" w:type="auto"/>
          </w:tcPr>
          <w:p w:rsidR="00F16D4B" w:rsidRPr="00863482" w:rsidRDefault="00513DC1" w:rsidP="00F916D5">
            <w:pPr>
              <w:rPr>
                <w:rFonts w:ascii="Arial" w:hAnsi="Arial" w:cs="Arial"/>
              </w:rPr>
            </w:pPr>
            <w:r w:rsidRPr="006B0B4F">
              <w:rPr>
                <w:rFonts w:ascii="Arial" w:hAnsi="Arial" w:cs="Arial"/>
                <w:color w:val="000000"/>
                <w:sz w:val="20"/>
                <w:szCs w:val="20"/>
              </w:rPr>
              <w:t>Review of construction documents and on-site inspection</w:t>
            </w:r>
          </w:p>
        </w:tc>
        <w:tc>
          <w:tcPr>
            <w:tcW w:w="0" w:type="auto"/>
          </w:tcPr>
          <w:p w:rsidR="00F16D4B" w:rsidRDefault="00F16D4B" w:rsidP="00F916D5"/>
        </w:tc>
        <w:tc>
          <w:tcPr>
            <w:tcW w:w="0" w:type="auto"/>
          </w:tcPr>
          <w:p w:rsidR="00F16D4B" w:rsidRPr="00863482" w:rsidRDefault="00513DC1" w:rsidP="00F916D5">
            <w:pPr>
              <w:rPr>
                <w:rFonts w:ascii="Arial" w:hAnsi="Arial" w:cs="Arial"/>
              </w:rPr>
            </w:pPr>
            <w:r w:rsidRPr="00863482">
              <w:rPr>
                <w:rFonts w:ascii="Arial" w:hAnsi="Arial" w:cs="Arial"/>
                <w:color w:val="000000"/>
                <w:sz w:val="20"/>
                <w:szCs w:val="20"/>
              </w:rPr>
              <w:t>Withhold Grading Permit or Issuance of a Stop Work Order</w:t>
            </w:r>
          </w:p>
        </w:tc>
      </w:tr>
      <w:tr w:rsidR="00F16D4B" w:rsidTr="00F916D5">
        <w:tc>
          <w:tcPr>
            <w:tcW w:w="0" w:type="auto"/>
          </w:tcPr>
          <w:p w:rsidR="00F16D4B" w:rsidRPr="00F16D4B" w:rsidRDefault="00F16D4B" w:rsidP="00F916D5">
            <w:pPr>
              <w:tabs>
                <w:tab w:val="num" w:pos="0"/>
              </w:tabs>
              <w:autoSpaceDE w:val="0"/>
              <w:autoSpaceDN w:val="0"/>
              <w:adjustRightInd w:val="0"/>
              <w:jc w:val="both"/>
              <w:rPr>
                <w:rFonts w:ascii="Arial" w:eastAsia="Times New Roman" w:hAnsi="Arial" w:cs="Arial"/>
                <w:sz w:val="20"/>
                <w:szCs w:val="20"/>
              </w:rPr>
            </w:pPr>
            <w:r w:rsidRPr="00F16D4B">
              <w:rPr>
                <w:rFonts w:ascii="Arial" w:eastAsia="Times New Roman" w:hAnsi="Arial" w:cs="Arial"/>
                <w:b/>
                <w:sz w:val="20"/>
                <w:szCs w:val="20"/>
              </w:rPr>
              <w:t>N-2:</w:t>
            </w:r>
            <w:r w:rsidRPr="00F16D4B">
              <w:rPr>
                <w:rFonts w:ascii="Arial" w:eastAsia="Times New Roman" w:hAnsi="Arial" w:cs="Arial"/>
                <w:sz w:val="20"/>
                <w:szCs w:val="20"/>
              </w:rPr>
              <w:t xml:space="preserve"> </w:t>
            </w:r>
            <w:r w:rsidR="001F33A4" w:rsidRPr="001F33A4">
              <w:rPr>
                <w:rFonts w:ascii="Arial" w:hAnsi="Arial" w:cs="Arial"/>
                <w:sz w:val="20"/>
                <w:szCs w:val="20"/>
              </w:rPr>
              <w:t>The staging of construction equipment and the construction trailer shall be placed as far as possible from the existing single-family residence</w:t>
            </w:r>
            <w:r w:rsidR="001F33A4">
              <w:rPr>
                <w:rFonts w:ascii="Arial" w:hAnsi="Arial" w:cs="Arial"/>
                <w:sz w:val="20"/>
                <w:szCs w:val="20"/>
              </w:rPr>
              <w:t>s located to the west and south and the schools to the south.</w:t>
            </w:r>
          </w:p>
        </w:tc>
        <w:tc>
          <w:tcPr>
            <w:tcW w:w="0" w:type="auto"/>
          </w:tcPr>
          <w:p w:rsidR="00513DC1" w:rsidRPr="006B0B4F" w:rsidRDefault="00513DC1" w:rsidP="00F916D5">
            <w:pPr>
              <w:autoSpaceDE w:val="0"/>
              <w:autoSpaceDN w:val="0"/>
              <w:adjustRightInd w:val="0"/>
              <w:rPr>
                <w:rFonts w:ascii="Arial" w:hAnsi="Arial" w:cs="Arial"/>
                <w:color w:val="000000"/>
                <w:sz w:val="20"/>
                <w:szCs w:val="20"/>
              </w:rPr>
            </w:pPr>
            <w:r w:rsidRPr="006B0B4F">
              <w:rPr>
                <w:rFonts w:ascii="Arial" w:hAnsi="Arial" w:cs="Arial"/>
                <w:color w:val="000000"/>
                <w:sz w:val="20"/>
                <w:szCs w:val="20"/>
              </w:rPr>
              <w:t xml:space="preserve">City of Moreno Valley Engineering and Building and Safety </w:t>
            </w:r>
          </w:p>
          <w:p w:rsidR="00F16D4B" w:rsidRDefault="00513DC1" w:rsidP="00F916D5">
            <w:r w:rsidRPr="006B0B4F">
              <w:rPr>
                <w:rFonts w:ascii="Arial" w:hAnsi="Arial" w:cs="Arial"/>
                <w:color w:val="000000"/>
                <w:sz w:val="20"/>
                <w:szCs w:val="20"/>
              </w:rPr>
              <w:t>Planning Division</w:t>
            </w:r>
          </w:p>
        </w:tc>
        <w:tc>
          <w:tcPr>
            <w:tcW w:w="0" w:type="auto"/>
          </w:tcPr>
          <w:p w:rsidR="00F16D4B" w:rsidRDefault="00513DC1" w:rsidP="00F916D5">
            <w:r w:rsidRPr="006B0B4F">
              <w:rPr>
                <w:rFonts w:ascii="Arial" w:hAnsi="Arial" w:cs="Arial"/>
                <w:color w:val="000000"/>
                <w:sz w:val="20"/>
                <w:szCs w:val="20"/>
              </w:rPr>
              <w:t>Once prior to Grading and  during grading and construction operations.</w:t>
            </w:r>
          </w:p>
        </w:tc>
        <w:tc>
          <w:tcPr>
            <w:tcW w:w="0" w:type="auto"/>
          </w:tcPr>
          <w:p w:rsidR="00F16D4B" w:rsidRDefault="00513DC1" w:rsidP="00F916D5">
            <w:r>
              <w:rPr>
                <w:rFonts w:ascii="Arial" w:hAnsi="Arial" w:cs="Arial"/>
                <w:color w:val="000000"/>
                <w:sz w:val="20"/>
                <w:szCs w:val="20"/>
              </w:rPr>
              <w:t>Prior to issuance of G</w:t>
            </w:r>
            <w:r w:rsidRPr="006B0B4F">
              <w:rPr>
                <w:rFonts w:ascii="Arial" w:hAnsi="Arial" w:cs="Arial"/>
                <w:color w:val="000000"/>
                <w:sz w:val="20"/>
                <w:szCs w:val="20"/>
              </w:rPr>
              <w:t xml:space="preserve">rading </w:t>
            </w:r>
            <w:r>
              <w:rPr>
                <w:rFonts w:ascii="Arial" w:hAnsi="Arial" w:cs="Arial"/>
                <w:color w:val="000000"/>
                <w:sz w:val="20"/>
                <w:szCs w:val="20"/>
              </w:rPr>
              <w:t>Permit</w:t>
            </w:r>
          </w:p>
        </w:tc>
        <w:tc>
          <w:tcPr>
            <w:tcW w:w="0" w:type="auto"/>
          </w:tcPr>
          <w:p w:rsidR="00F16D4B" w:rsidRDefault="00513DC1" w:rsidP="00F916D5">
            <w:r w:rsidRPr="006B0B4F">
              <w:rPr>
                <w:rFonts w:ascii="Arial" w:hAnsi="Arial" w:cs="Arial"/>
                <w:color w:val="000000"/>
                <w:sz w:val="20"/>
                <w:szCs w:val="20"/>
              </w:rPr>
              <w:t>Review of construction documents and on-site inspection</w:t>
            </w:r>
          </w:p>
        </w:tc>
        <w:tc>
          <w:tcPr>
            <w:tcW w:w="0" w:type="auto"/>
          </w:tcPr>
          <w:p w:rsidR="00F16D4B" w:rsidRDefault="00F16D4B" w:rsidP="00F916D5"/>
        </w:tc>
        <w:tc>
          <w:tcPr>
            <w:tcW w:w="0" w:type="auto"/>
          </w:tcPr>
          <w:p w:rsidR="00F16D4B" w:rsidRDefault="00513DC1" w:rsidP="00F916D5">
            <w:r w:rsidRPr="00863482">
              <w:rPr>
                <w:rFonts w:ascii="Arial" w:hAnsi="Arial" w:cs="Arial"/>
                <w:color w:val="000000"/>
                <w:sz w:val="20"/>
                <w:szCs w:val="20"/>
              </w:rPr>
              <w:t>Withhold Grading Permit or Issuance of a Stop Work Order</w:t>
            </w:r>
          </w:p>
        </w:tc>
      </w:tr>
    </w:tbl>
    <w:p w:rsidR="00863482" w:rsidRDefault="00F916D5">
      <w:r>
        <w:br w:type="textWrapping" w:clear="all"/>
      </w:r>
    </w:p>
    <w:sectPr w:rsidR="00863482" w:rsidSect="00513DC1">
      <w:footerReference w:type="default" r:id="rId8"/>
      <w:pgSz w:w="15840" w:h="12240" w:orient="landscape"/>
      <w:pgMar w:top="907" w:right="1440" w:bottom="806" w:left="1440" w:header="720" w:footer="3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C1" w:rsidRDefault="00513DC1" w:rsidP="00513DC1">
      <w:pPr>
        <w:spacing w:after="0" w:line="240" w:lineRule="auto"/>
      </w:pPr>
      <w:r>
        <w:separator/>
      </w:r>
    </w:p>
  </w:endnote>
  <w:endnote w:type="continuationSeparator" w:id="0">
    <w:p w:rsidR="00513DC1" w:rsidRDefault="00513DC1" w:rsidP="0051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432479"/>
      <w:docPartObj>
        <w:docPartGallery w:val="Page Numbers (Bottom of Page)"/>
        <w:docPartUnique/>
      </w:docPartObj>
    </w:sdtPr>
    <w:sdtEndPr>
      <w:rPr>
        <w:rFonts w:ascii="Arial" w:hAnsi="Arial" w:cs="Arial"/>
        <w:noProof/>
        <w:sz w:val="20"/>
        <w:szCs w:val="20"/>
      </w:rPr>
    </w:sdtEndPr>
    <w:sdtContent>
      <w:p w:rsidR="00513DC1" w:rsidRPr="00513DC1" w:rsidRDefault="00513DC1">
        <w:pPr>
          <w:pStyle w:val="Footer"/>
          <w:jc w:val="center"/>
          <w:rPr>
            <w:rFonts w:ascii="Arial" w:hAnsi="Arial" w:cs="Arial"/>
            <w:sz w:val="20"/>
            <w:szCs w:val="20"/>
          </w:rPr>
        </w:pPr>
        <w:r w:rsidRPr="00513DC1">
          <w:rPr>
            <w:rFonts w:ascii="Arial" w:hAnsi="Arial" w:cs="Arial"/>
            <w:sz w:val="20"/>
            <w:szCs w:val="20"/>
          </w:rPr>
          <w:fldChar w:fldCharType="begin"/>
        </w:r>
        <w:r w:rsidRPr="00513DC1">
          <w:rPr>
            <w:rFonts w:ascii="Arial" w:hAnsi="Arial" w:cs="Arial"/>
            <w:sz w:val="20"/>
            <w:szCs w:val="20"/>
          </w:rPr>
          <w:instrText xml:space="preserve"> PAGE   \* MERGEFORMAT </w:instrText>
        </w:r>
        <w:r w:rsidRPr="00513DC1">
          <w:rPr>
            <w:rFonts w:ascii="Arial" w:hAnsi="Arial" w:cs="Arial"/>
            <w:sz w:val="20"/>
            <w:szCs w:val="20"/>
          </w:rPr>
          <w:fldChar w:fldCharType="separate"/>
        </w:r>
        <w:r w:rsidR="00624C7C">
          <w:rPr>
            <w:rFonts w:ascii="Arial" w:hAnsi="Arial" w:cs="Arial"/>
            <w:noProof/>
            <w:sz w:val="20"/>
            <w:szCs w:val="20"/>
          </w:rPr>
          <w:t>2</w:t>
        </w:r>
        <w:r w:rsidRPr="00513DC1">
          <w:rPr>
            <w:rFonts w:ascii="Arial" w:hAnsi="Arial" w:cs="Arial"/>
            <w:noProof/>
            <w:sz w:val="20"/>
            <w:szCs w:val="20"/>
          </w:rPr>
          <w:fldChar w:fldCharType="end"/>
        </w:r>
      </w:p>
    </w:sdtContent>
  </w:sdt>
  <w:p w:rsidR="00513DC1" w:rsidRDefault="00513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C1" w:rsidRDefault="00513DC1" w:rsidP="00513DC1">
      <w:pPr>
        <w:spacing w:after="0" w:line="240" w:lineRule="auto"/>
      </w:pPr>
      <w:r>
        <w:separator/>
      </w:r>
    </w:p>
  </w:footnote>
  <w:footnote w:type="continuationSeparator" w:id="0">
    <w:p w:rsidR="00513DC1" w:rsidRDefault="00513DC1" w:rsidP="00513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27F0"/>
    <w:multiLevelType w:val="multilevel"/>
    <w:tmpl w:val="D884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6534B9"/>
    <w:multiLevelType w:val="hybridMultilevel"/>
    <w:tmpl w:val="F5D6D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8D87CB4"/>
    <w:multiLevelType w:val="hybridMultilevel"/>
    <w:tmpl w:val="66180C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ms Rmn"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ms Rmn"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01"/>
    <w:rsid w:val="00164774"/>
    <w:rsid w:val="001F33A4"/>
    <w:rsid w:val="00230BAC"/>
    <w:rsid w:val="00435201"/>
    <w:rsid w:val="00513DC1"/>
    <w:rsid w:val="00624C7C"/>
    <w:rsid w:val="006A503C"/>
    <w:rsid w:val="006B0B4F"/>
    <w:rsid w:val="008143A0"/>
    <w:rsid w:val="00863482"/>
    <w:rsid w:val="00A66FC2"/>
    <w:rsid w:val="00AE138E"/>
    <w:rsid w:val="00B7150B"/>
    <w:rsid w:val="00F16D4B"/>
    <w:rsid w:val="00F202E0"/>
    <w:rsid w:val="00F9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16D4B"/>
    <w:pPr>
      <w:ind w:left="720"/>
      <w:contextualSpacing/>
    </w:pPr>
  </w:style>
  <w:style w:type="paragraph" w:styleId="Header">
    <w:name w:val="header"/>
    <w:basedOn w:val="Normal"/>
    <w:link w:val="HeaderChar"/>
    <w:uiPriority w:val="99"/>
    <w:unhideWhenUsed/>
    <w:rsid w:val="0051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C1"/>
  </w:style>
  <w:style w:type="paragraph" w:styleId="Footer">
    <w:name w:val="footer"/>
    <w:basedOn w:val="Normal"/>
    <w:link w:val="FooterChar"/>
    <w:uiPriority w:val="99"/>
    <w:unhideWhenUsed/>
    <w:rsid w:val="00513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C1"/>
  </w:style>
  <w:style w:type="paragraph" w:styleId="BalloonText">
    <w:name w:val="Balloon Text"/>
    <w:basedOn w:val="Normal"/>
    <w:link w:val="BalloonTextChar"/>
    <w:uiPriority w:val="99"/>
    <w:semiHidden/>
    <w:unhideWhenUsed/>
    <w:rsid w:val="0051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D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16D4B"/>
    <w:pPr>
      <w:ind w:left="720"/>
      <w:contextualSpacing/>
    </w:pPr>
  </w:style>
  <w:style w:type="paragraph" w:styleId="Header">
    <w:name w:val="header"/>
    <w:basedOn w:val="Normal"/>
    <w:link w:val="HeaderChar"/>
    <w:uiPriority w:val="99"/>
    <w:unhideWhenUsed/>
    <w:rsid w:val="0051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C1"/>
  </w:style>
  <w:style w:type="paragraph" w:styleId="Footer">
    <w:name w:val="footer"/>
    <w:basedOn w:val="Normal"/>
    <w:link w:val="FooterChar"/>
    <w:uiPriority w:val="99"/>
    <w:unhideWhenUsed/>
    <w:rsid w:val="00513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C1"/>
  </w:style>
  <w:style w:type="paragraph" w:styleId="BalloonText">
    <w:name w:val="Balloon Text"/>
    <w:basedOn w:val="Normal"/>
    <w:link w:val="BalloonTextChar"/>
    <w:uiPriority w:val="99"/>
    <w:semiHidden/>
    <w:unhideWhenUsed/>
    <w:rsid w:val="0051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6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Bradshaw</dc:creator>
  <cp:lastModifiedBy>Jeff Bradshaw</cp:lastModifiedBy>
  <cp:revision>9</cp:revision>
  <cp:lastPrinted>2016-05-04T00:25:00Z</cp:lastPrinted>
  <dcterms:created xsi:type="dcterms:W3CDTF">2016-05-03T23:04:00Z</dcterms:created>
  <dcterms:modified xsi:type="dcterms:W3CDTF">2017-01-19T02:52:00Z</dcterms:modified>
</cp:coreProperties>
</file>